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End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EndPr/>
      <w:sdtContent>
        <w:p w14:paraId="60146C1C" w14:textId="77777777" w:rsidR="00D42C38" w:rsidRDefault="00D42C38" w:rsidP="00D42C38">
          <w:pPr>
            <w:pStyle w:val="Subtitle"/>
            <w:jc w:val="center"/>
            <w:rPr>
              <w:sz w:val="36"/>
              <w:szCs w:val="36"/>
            </w:rPr>
            <w:sectPr w:rsidR="00D42C38" w:rsidSect="00757E2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Pr>
              <w:sz w:val="36"/>
              <w:szCs w:val="36"/>
            </w:rPr>
            <w:t>[Name of Process Being Evaluated and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End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w:t>
          </w:r>
          <w:proofErr w:type="gramStart"/>
          <w:r w:rsidRPr="00D42C38">
            <w:rPr>
              <w:rFonts w:ascii="Arial" w:hAnsi="Arial" w:cs="Arial"/>
              <w:b/>
              <w:color w:val="FF0000"/>
              <w:sz w:val="20"/>
              <w:szCs w:val="20"/>
              <w:bdr w:val="none" w:sz="0" w:space="0" w:color="auto" w:frame="1"/>
            </w:rPr>
            <w:t>more or less detail</w:t>
          </w:r>
          <w:proofErr w:type="gramEnd"/>
          <w:r w:rsidRPr="00D42C38">
            <w:rPr>
              <w:rFonts w:ascii="Arial" w:hAnsi="Arial" w:cs="Arial"/>
              <w:b/>
              <w:color w:val="FF0000"/>
              <w:sz w:val="20"/>
              <w:szCs w:val="20"/>
              <w:bdr w:val="none" w:sz="0" w:space="0" w:color="auto" w:frame="1"/>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r>
            <w:rPr>
              <w:rFonts w:ascii="Arial" w:hAnsi="Arial" w:cs="Arial"/>
              <w:b/>
              <w:color w:val="FF0000"/>
              <w:sz w:val="20"/>
              <w:szCs w:val="20"/>
              <w:bdr w:val="none" w:sz="0" w:space="0" w:color="auto" w:frame="1"/>
            </w:rPr>
            <w:t>red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C60A8D"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EndPr/>
        <w:sdtContent>
          <w:r w:rsidR="00DF0DEA">
            <w:t>Hazard Control Plan</w:t>
          </w:r>
        </w:sdtContent>
      </w:sdt>
    </w:p>
    <w:p w14:paraId="709C0677" w14:textId="77777777" w:rsidR="00DF0DEA" w:rsidRPr="007D7EA5" w:rsidRDefault="00C60A8D">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EndPr/>
        <w:sdtContent>
          <w:r w:rsidR="00D42C38">
            <w:rPr>
              <w:color w:val="FF0000"/>
            </w:rPr>
            <w:t>[Name of Process Being Evaluated and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9C7829">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9C7829">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9C7829">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9C7829">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9C7829">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9C7829">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9C7829">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3"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lastRenderedPageBreak/>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236"/>
        <w:gridCol w:w="5704"/>
        <w:gridCol w:w="270"/>
        <w:gridCol w:w="4500"/>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6455DC8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Acute/Chronic 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6B6EAA98"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reagents is required before new lab members can perform experiments with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materials.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8"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lastRenderedPageBreak/>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9"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77777777" w:rsidR="00EC0EA2" w:rsidRPr="00896F32" w:rsidRDefault="00EC0EA2" w:rsidP="00EC0EA2">
            <w:pPr>
              <w:rPr>
                <w:b/>
              </w:rPr>
            </w:pPr>
            <w:bookmarkStart w:id="9" w:name="_Hlk157423280"/>
            <w:r>
              <w:rPr>
                <w:b/>
              </w:rPr>
              <w:lastRenderedPageBreak/>
              <w:t>Hazard</w:t>
            </w:r>
            <w:proofErr w:type="gramStart"/>
            <w:r>
              <w:rPr>
                <w:b/>
              </w:rPr>
              <w:t xml:space="preserve">:  </w:t>
            </w:r>
            <w:r w:rsidRPr="00224900">
              <w:rPr>
                <w:b/>
                <w:color w:val="FF0000"/>
              </w:rPr>
              <w:t>[</w:t>
            </w:r>
            <w:proofErr w:type="gramEnd"/>
            <w:r w:rsidRPr="00224900">
              <w:rPr>
                <w:b/>
                <w:color w:val="FF0000"/>
              </w:rPr>
              <w:t>Name Hazard Here]</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D1EB3AA" w14:textId="77777777" w:rsidR="00EC0EA2" w:rsidRDefault="00EC0EA2" w:rsidP="00EC0EA2">
            <w:r w:rsidRPr="00224900">
              <w:rPr>
                <w:color w:val="FF0000"/>
              </w:rPr>
              <w:t>[Enter risk here]</w:t>
            </w:r>
          </w:p>
        </w:tc>
        <w:tc>
          <w:tcPr>
            <w:tcW w:w="1364" w:type="dxa"/>
          </w:tcPr>
          <w:p w14:paraId="4DDF830F" w14:textId="77777777" w:rsidR="00EC0EA2" w:rsidRDefault="00EC0EA2" w:rsidP="00EC0EA2">
            <w:r w:rsidRPr="00224900">
              <w:rPr>
                <w:color w:val="FF0000"/>
              </w:rPr>
              <w:t>H, M, or L</w:t>
            </w:r>
          </w:p>
        </w:tc>
        <w:tc>
          <w:tcPr>
            <w:tcW w:w="1158" w:type="dxa"/>
          </w:tcPr>
          <w:p w14:paraId="12B3AB7F" w14:textId="77777777" w:rsidR="00EC0EA2" w:rsidRDefault="00EC0EA2" w:rsidP="00EC0EA2">
            <w:r w:rsidRPr="00224900">
              <w:rPr>
                <w:color w:val="FF0000"/>
              </w:rPr>
              <w:t>H, M, or L</w:t>
            </w:r>
          </w:p>
        </w:tc>
        <w:tc>
          <w:tcPr>
            <w:tcW w:w="5218" w:type="dxa"/>
          </w:tcPr>
          <w:p w14:paraId="11C6E0D6" w14:textId="77777777" w:rsidR="00EC0EA2" w:rsidRDefault="00EC0EA2" w:rsidP="00EC0EA2">
            <w:r w:rsidRPr="00224900">
              <w:rPr>
                <w:color w:val="FF0000"/>
              </w:rPr>
              <w:t xml:space="preserve">[Enter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47DD5596" w14:textId="77777777" w:rsidR="00EC0EA2" w:rsidRDefault="00EC0EA2" w:rsidP="00EC0EA2"/>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4E423A62" w14:textId="77777777" w:rsidR="00EC0EA2" w:rsidRDefault="00EC0EA2" w:rsidP="00EC0EA2"/>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6D553427" w14:textId="77777777" w:rsidR="00EC0EA2" w:rsidRDefault="00EC0EA2" w:rsidP="00EC0EA2"/>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77777777" w:rsidR="00EC0EA2" w:rsidRDefault="00EC0EA2" w:rsidP="00EC0EA2"/>
        </w:tc>
      </w:tr>
    </w:tbl>
    <w:bookmarkEnd w:id="9"/>
    <w:p w14:paraId="32BA65E1" w14:textId="160F253B" w:rsidR="00273EFC" w:rsidRDefault="00EC0EA2">
      <w:r w:rsidRPr="0020631B">
        <w:rPr>
          <w:b/>
        </w:rPr>
        <w:t>Link to Penn Chemical Hygiene Plan SOP for this hazard:</w:t>
      </w:r>
      <w:r>
        <w:rPr>
          <w:b/>
        </w:rPr>
        <w:t xml:space="preserve"> </w:t>
      </w:r>
      <w:r w:rsidRPr="0020631B">
        <w:rPr>
          <w:b/>
          <w:color w:val="FF0000"/>
        </w:rPr>
        <w:t xml:space="preserve"> </w:t>
      </w:r>
      <w:r w:rsidRPr="0020631B">
        <w:rPr>
          <w:color w:val="FF0000"/>
        </w:rPr>
        <w:t>[If applicable, include the link to</w:t>
      </w:r>
      <w:r w:rsidR="00DD701D">
        <w:rPr>
          <w:color w:val="FF0000"/>
        </w:rPr>
        <w:t xml:space="preserve"> the relevant</w:t>
      </w:r>
      <w:r w:rsidRPr="0020631B">
        <w:rPr>
          <w:color w:val="FF0000"/>
        </w:rPr>
        <w:t xml:space="preserve"> </w:t>
      </w:r>
      <w:hyperlink r:id="rId20" w:history="1">
        <w:r w:rsidRPr="00C9379E">
          <w:rPr>
            <w:rStyle w:val="Hyperlink"/>
          </w:rPr>
          <w:t>SOP</w:t>
        </w:r>
      </w:hyperlink>
      <w:r w:rsidRPr="0020631B">
        <w:rPr>
          <w:color w:val="FF0000"/>
        </w:rPr>
        <w:t xml:space="preserve"> or </w:t>
      </w:r>
      <w:hyperlink r:id="rId21" w:history="1">
        <w:r w:rsidRPr="00DD701D">
          <w:rPr>
            <w:rStyle w:val="Hyperlink"/>
          </w:rPr>
          <w:t>Fact Sheet</w:t>
        </w:r>
      </w:hyperlink>
      <w:r w:rsidRPr="0020631B">
        <w:rPr>
          <w:color w:val="FF0000"/>
        </w:rPr>
        <w:t xml:space="preserve"> from </w:t>
      </w:r>
      <w:hyperlink r:id="rId22" w:anchor="paragraph-1016" w:history="1">
        <w:r w:rsidRPr="00DD701D">
          <w:rPr>
            <w:rStyle w:val="Hyperlink"/>
          </w:rPr>
          <w:t>Penn’s CHP</w:t>
        </w:r>
      </w:hyperlink>
      <w:r w:rsidRPr="0020631B">
        <w:rPr>
          <w:color w:val="FF0000"/>
        </w:rPr>
        <w:t>]</w:t>
      </w:r>
    </w:p>
    <w:p w14:paraId="11BCF6C1" w14:textId="70649925" w:rsidR="00EC0EA2" w:rsidRDefault="00EC0EA2">
      <w:pPr>
        <w:rPr>
          <w:b/>
          <w:color w:val="FF0000"/>
        </w:rPr>
      </w:pPr>
    </w:p>
    <w:p w14:paraId="1952F619" w14:textId="77777777" w:rsidR="00273EFC" w:rsidRPr="007D7EA5" w:rsidRDefault="00273EFC" w:rsidP="00273EFC">
      <w:pPr>
        <w:pStyle w:val="ListParagraph"/>
        <w:numPr>
          <w:ilvl w:val="0"/>
          <w:numId w:val="1"/>
        </w:numPr>
        <w:rPr>
          <w:b/>
          <w:color w:val="FF0000"/>
        </w:rPr>
      </w:pPr>
      <w:r w:rsidRPr="007D7EA5">
        <w:rPr>
          <w:b/>
          <w:color w:val="FF0000"/>
        </w:rPr>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Hazard</w:t>
            </w:r>
            <w:proofErr w:type="gramStart"/>
            <w:r>
              <w:rPr>
                <w:b/>
              </w:rPr>
              <w:t xml:space="preserve">:  </w:t>
            </w:r>
            <w:r w:rsidRPr="00224900">
              <w:rPr>
                <w:b/>
                <w:color w:val="FF0000"/>
              </w:rPr>
              <w:t>[</w:t>
            </w:r>
            <w:proofErr w:type="gramEnd"/>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23" w:history="1">
        <w:r w:rsidR="00DD701D" w:rsidRPr="00422476">
          <w:rPr>
            <w:rStyle w:val="Hyperlink"/>
          </w:rPr>
          <w:t>SOP</w:t>
        </w:r>
      </w:hyperlink>
      <w:r w:rsidR="00DD701D" w:rsidRPr="0020631B">
        <w:rPr>
          <w:color w:val="FF0000"/>
        </w:rPr>
        <w:t xml:space="preserve"> or </w:t>
      </w:r>
      <w:hyperlink r:id="rId24" w:history="1">
        <w:r w:rsidR="00DD701D" w:rsidRPr="00DD701D">
          <w:rPr>
            <w:rStyle w:val="Hyperlink"/>
          </w:rPr>
          <w:t>Fact Sheet</w:t>
        </w:r>
      </w:hyperlink>
      <w:r w:rsidR="00DD701D" w:rsidRPr="0020631B">
        <w:rPr>
          <w:color w:val="FF0000"/>
        </w:rPr>
        <w:t xml:space="preserve"> from </w:t>
      </w:r>
      <w:hyperlink r:id="rId25"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057864A0" w14:textId="45B60DC0" w:rsidR="00DB5D4F" w:rsidRPr="00385E36" w:rsidRDefault="00DB5D4F" w:rsidP="00385E36">
      <w:pPr>
        <w:rPr>
          <w:b/>
        </w:rPr>
      </w:pPr>
    </w:p>
    <w:p w14:paraId="76B90BB7" w14:textId="77777777" w:rsidR="00273EFC" w:rsidRPr="007D7EA5" w:rsidRDefault="00273EFC" w:rsidP="00273EFC">
      <w:pPr>
        <w:pStyle w:val="ListParagraph"/>
        <w:numPr>
          <w:ilvl w:val="0"/>
          <w:numId w:val="1"/>
        </w:numPr>
        <w:rPr>
          <w:b/>
          <w:color w:val="FF0000"/>
        </w:rPr>
      </w:pPr>
      <w:r w:rsidRPr="007D7EA5">
        <w:rPr>
          <w:b/>
          <w:color w:val="FF0000"/>
        </w:rPr>
        <w:t>[Task Name]</w:t>
      </w:r>
    </w:p>
    <w:p w14:paraId="34035129" w14:textId="78EC8D3C" w:rsidR="00273EFC" w:rsidRPr="007D7EA5" w:rsidRDefault="00273EFC" w:rsidP="00273EFC">
      <w:pPr>
        <w:ind w:left="720"/>
        <w:rPr>
          <w:color w:val="FF0000"/>
        </w:rPr>
      </w:pPr>
      <w:r w:rsidRPr="007D7EA5">
        <w:rPr>
          <w:color w:val="FF0000"/>
        </w:rPr>
        <w:t xml:space="preserve">[Task </w:t>
      </w:r>
      <w:r w:rsidRPr="00C9379E">
        <w:rPr>
          <w:color w:val="FF0000"/>
        </w:rPr>
        <w:t>Description</w:t>
      </w:r>
      <w:r w:rsidR="00956B1A" w:rsidRPr="00C9379E">
        <w:rPr>
          <w:color w:val="FF0000"/>
        </w:rPr>
        <w:t>/General Procedure</w:t>
      </w:r>
      <w:r w:rsidRPr="007D7EA5">
        <w:rPr>
          <w:color w:val="FF0000"/>
        </w:rPr>
        <w:t>]</w:t>
      </w:r>
    </w:p>
    <w:p w14:paraId="5A5B9021" w14:textId="79D4945C" w:rsidR="00EC0EA2" w:rsidRPr="00273EFC"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0C85C61" w14:textId="77777777" w:rsidTr="009D7F12">
        <w:trPr>
          <w:trHeight w:val="260"/>
        </w:trPr>
        <w:tc>
          <w:tcPr>
            <w:tcW w:w="10975" w:type="dxa"/>
            <w:gridSpan w:val="4"/>
            <w:shd w:val="clear" w:color="auto" w:fill="FFC000"/>
          </w:tcPr>
          <w:p w14:paraId="05B5213A" w14:textId="77777777" w:rsidR="00EC0EA2" w:rsidRPr="00896F32" w:rsidRDefault="00EC0EA2" w:rsidP="009D7F12">
            <w:pPr>
              <w:rPr>
                <w:b/>
              </w:rPr>
            </w:pPr>
            <w:r>
              <w:rPr>
                <w:b/>
              </w:rPr>
              <w:lastRenderedPageBreak/>
              <w:t>Hazard</w:t>
            </w:r>
            <w:proofErr w:type="gramStart"/>
            <w:r>
              <w:rPr>
                <w:b/>
              </w:rPr>
              <w:t xml:space="preserve">:  </w:t>
            </w:r>
            <w:r w:rsidRPr="00224900">
              <w:rPr>
                <w:b/>
                <w:color w:val="FF0000"/>
              </w:rPr>
              <w:t>[</w:t>
            </w:r>
            <w:proofErr w:type="gramEnd"/>
            <w:r w:rsidRPr="00224900">
              <w:rPr>
                <w:b/>
                <w:color w:val="FF0000"/>
              </w:rPr>
              <w:t>Name Hazard Here]</w:t>
            </w:r>
          </w:p>
        </w:tc>
      </w:tr>
      <w:tr w:rsidR="00EC0EA2" w14:paraId="64190B11" w14:textId="77777777" w:rsidTr="009D7F12">
        <w:trPr>
          <w:trHeight w:val="260"/>
        </w:trPr>
        <w:tc>
          <w:tcPr>
            <w:tcW w:w="3235" w:type="dxa"/>
            <w:shd w:val="clear" w:color="auto" w:fill="D9D9D9" w:themeFill="background1" w:themeFillShade="D9"/>
          </w:tcPr>
          <w:p w14:paraId="718CB274"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3DA6F557"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491EE558"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41513989" w14:textId="77777777" w:rsidR="00EC0EA2" w:rsidRPr="00896F32" w:rsidRDefault="00EC0EA2" w:rsidP="009D7F12">
            <w:pPr>
              <w:rPr>
                <w:b/>
              </w:rPr>
            </w:pPr>
            <w:r>
              <w:rPr>
                <w:b/>
              </w:rPr>
              <w:t xml:space="preserve">Risk </w:t>
            </w:r>
            <w:r w:rsidRPr="00896F32">
              <w:rPr>
                <w:b/>
              </w:rPr>
              <w:t>Factors</w:t>
            </w:r>
          </w:p>
        </w:tc>
      </w:tr>
      <w:tr w:rsidR="0022162E" w14:paraId="61B433D5" w14:textId="77777777" w:rsidTr="009D7F12">
        <w:trPr>
          <w:trHeight w:val="235"/>
        </w:trPr>
        <w:tc>
          <w:tcPr>
            <w:tcW w:w="3235" w:type="dxa"/>
          </w:tcPr>
          <w:p w14:paraId="2FCA8443" w14:textId="77777777" w:rsidR="0022162E" w:rsidRDefault="0022162E" w:rsidP="0022162E">
            <w:r w:rsidRPr="00224900">
              <w:rPr>
                <w:color w:val="FF0000"/>
              </w:rPr>
              <w:t>[Enter risk here]</w:t>
            </w:r>
          </w:p>
        </w:tc>
        <w:tc>
          <w:tcPr>
            <w:tcW w:w="1364" w:type="dxa"/>
          </w:tcPr>
          <w:p w14:paraId="0740C633" w14:textId="77777777" w:rsidR="0022162E" w:rsidRDefault="0022162E" w:rsidP="0022162E">
            <w:r w:rsidRPr="00224900">
              <w:rPr>
                <w:color w:val="FF0000"/>
              </w:rPr>
              <w:t>H, M, or L</w:t>
            </w:r>
          </w:p>
        </w:tc>
        <w:tc>
          <w:tcPr>
            <w:tcW w:w="1158" w:type="dxa"/>
          </w:tcPr>
          <w:p w14:paraId="5B004D6B" w14:textId="77777777" w:rsidR="0022162E" w:rsidRDefault="0022162E" w:rsidP="0022162E">
            <w:r w:rsidRPr="00224900">
              <w:rPr>
                <w:color w:val="FF0000"/>
              </w:rPr>
              <w:t>H, M, or L</w:t>
            </w:r>
          </w:p>
        </w:tc>
        <w:tc>
          <w:tcPr>
            <w:tcW w:w="5218" w:type="dxa"/>
          </w:tcPr>
          <w:p w14:paraId="35A6F93C"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08B260B" w14:textId="77777777" w:rsidTr="009D7F12">
        <w:trPr>
          <w:trHeight w:val="293"/>
        </w:trPr>
        <w:tc>
          <w:tcPr>
            <w:tcW w:w="10975" w:type="dxa"/>
            <w:gridSpan w:val="4"/>
            <w:shd w:val="clear" w:color="auto" w:fill="D9D9D9" w:themeFill="background1" w:themeFillShade="D9"/>
          </w:tcPr>
          <w:p w14:paraId="593565B1" w14:textId="77777777" w:rsidR="00EC0EA2" w:rsidRDefault="00EC0EA2" w:rsidP="009D7F12">
            <w:pPr>
              <w:jc w:val="center"/>
            </w:pPr>
            <w:r w:rsidRPr="0033379F">
              <w:rPr>
                <w:b/>
              </w:rPr>
              <w:t>Controls</w:t>
            </w:r>
          </w:p>
        </w:tc>
      </w:tr>
      <w:tr w:rsidR="00EC0EA2" w14:paraId="1722F9C0" w14:textId="77777777" w:rsidTr="009D7F12">
        <w:trPr>
          <w:trHeight w:val="547"/>
        </w:trPr>
        <w:tc>
          <w:tcPr>
            <w:tcW w:w="3235" w:type="dxa"/>
          </w:tcPr>
          <w:p w14:paraId="253F5FAC" w14:textId="77777777" w:rsidR="00EC0EA2" w:rsidRPr="0033379F" w:rsidRDefault="00EC0EA2" w:rsidP="009D7F12">
            <w:pPr>
              <w:rPr>
                <w:b/>
              </w:rPr>
            </w:pPr>
            <w:r>
              <w:rPr>
                <w:b/>
              </w:rPr>
              <w:t>Administrative [work practices]</w:t>
            </w:r>
          </w:p>
        </w:tc>
        <w:tc>
          <w:tcPr>
            <w:tcW w:w="7740" w:type="dxa"/>
            <w:gridSpan w:val="3"/>
          </w:tcPr>
          <w:p w14:paraId="0B45FDB7" w14:textId="77777777" w:rsidR="00EC0EA2" w:rsidRDefault="00EC0EA2" w:rsidP="009D7F12"/>
        </w:tc>
      </w:tr>
      <w:tr w:rsidR="00EC0EA2" w14:paraId="69473739" w14:textId="77777777" w:rsidTr="009D7F12">
        <w:trPr>
          <w:trHeight w:val="364"/>
        </w:trPr>
        <w:tc>
          <w:tcPr>
            <w:tcW w:w="3235" w:type="dxa"/>
          </w:tcPr>
          <w:p w14:paraId="33D3EAEE" w14:textId="77777777" w:rsidR="00EC0EA2" w:rsidRDefault="00EC0EA2" w:rsidP="009D7F12">
            <w:pPr>
              <w:rPr>
                <w:b/>
              </w:rPr>
            </w:pPr>
            <w:r>
              <w:rPr>
                <w:b/>
              </w:rPr>
              <w:t>Engineering</w:t>
            </w:r>
          </w:p>
        </w:tc>
        <w:tc>
          <w:tcPr>
            <w:tcW w:w="7740" w:type="dxa"/>
            <w:gridSpan w:val="3"/>
          </w:tcPr>
          <w:p w14:paraId="63E87E6E" w14:textId="77777777" w:rsidR="00EC0EA2" w:rsidRDefault="00EC0EA2" w:rsidP="009D7F12"/>
        </w:tc>
      </w:tr>
      <w:tr w:rsidR="00EC0EA2" w14:paraId="2F5A98E5" w14:textId="77777777" w:rsidTr="009D7F12">
        <w:trPr>
          <w:trHeight w:val="355"/>
        </w:trPr>
        <w:tc>
          <w:tcPr>
            <w:tcW w:w="3235" w:type="dxa"/>
          </w:tcPr>
          <w:p w14:paraId="6C1E69CF" w14:textId="77777777" w:rsidR="00EC0EA2" w:rsidRPr="0033379F" w:rsidRDefault="00EC0EA2" w:rsidP="009D7F12">
            <w:pPr>
              <w:rPr>
                <w:b/>
              </w:rPr>
            </w:pPr>
            <w:r>
              <w:rPr>
                <w:b/>
              </w:rPr>
              <w:t>Personal Protective Equipment</w:t>
            </w:r>
          </w:p>
        </w:tc>
        <w:tc>
          <w:tcPr>
            <w:tcW w:w="7740" w:type="dxa"/>
            <w:gridSpan w:val="3"/>
          </w:tcPr>
          <w:p w14:paraId="65CE1DD0" w14:textId="77777777" w:rsidR="00EC0EA2" w:rsidRDefault="00EC0EA2" w:rsidP="009D7F12"/>
        </w:tc>
      </w:tr>
      <w:tr w:rsidR="00EC0EA2" w14:paraId="00E3C974" w14:textId="77777777" w:rsidTr="009D7F12">
        <w:trPr>
          <w:trHeight w:val="427"/>
        </w:trPr>
        <w:tc>
          <w:tcPr>
            <w:tcW w:w="3235" w:type="dxa"/>
          </w:tcPr>
          <w:p w14:paraId="41A844FC" w14:textId="77777777" w:rsidR="00EC0EA2" w:rsidRDefault="00EC0EA2" w:rsidP="009D7F12">
            <w:pPr>
              <w:rPr>
                <w:b/>
              </w:rPr>
            </w:pPr>
            <w:r>
              <w:rPr>
                <w:b/>
              </w:rPr>
              <w:t>Other mitigating factors</w:t>
            </w:r>
          </w:p>
          <w:p w14:paraId="6F6B4F6F" w14:textId="77777777" w:rsidR="00EC0EA2" w:rsidRPr="0033379F" w:rsidRDefault="00EC0EA2" w:rsidP="009D7F12">
            <w:pPr>
              <w:rPr>
                <w:b/>
              </w:rPr>
            </w:pPr>
            <w:r>
              <w:rPr>
                <w:b/>
              </w:rPr>
              <w:t>(inherent risk reduction)</w:t>
            </w:r>
          </w:p>
        </w:tc>
        <w:tc>
          <w:tcPr>
            <w:tcW w:w="7740" w:type="dxa"/>
            <w:gridSpan w:val="3"/>
          </w:tcPr>
          <w:p w14:paraId="02D35801" w14:textId="77777777" w:rsidR="00EC0EA2" w:rsidRDefault="00EC0EA2" w:rsidP="009D7F12"/>
        </w:tc>
      </w:tr>
    </w:tbl>
    <w:p w14:paraId="1850C3B7" w14:textId="41F84CF9" w:rsidR="00D42C38" w:rsidRDefault="0020631B" w:rsidP="0020631B">
      <w:pPr>
        <w:rPr>
          <w:b/>
        </w:rPr>
        <w:sectPr w:rsidR="00D42C38" w:rsidSect="00757E29">
          <w:headerReference w:type="default" r:id="rId26"/>
          <w:footerReference w:type="default" r:id="rId27"/>
          <w:type w:val="continuous"/>
          <w:pgSz w:w="12240" w:h="15840"/>
          <w:pgMar w:top="1440" w:right="1440" w:bottom="1440" w:left="1440" w:header="720" w:footer="720" w:gutter="0"/>
          <w:cols w:space="720"/>
          <w:titlePg/>
          <w:docGrid w:linePitch="360"/>
        </w:sectPr>
      </w:pPr>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28" w:history="1">
        <w:r w:rsidR="00DD701D" w:rsidRPr="00422476">
          <w:rPr>
            <w:rStyle w:val="Hyperlink"/>
          </w:rPr>
          <w:t>SOP</w:t>
        </w:r>
      </w:hyperlink>
      <w:r w:rsidR="00DD701D" w:rsidRPr="0020631B">
        <w:rPr>
          <w:color w:val="FF0000"/>
        </w:rPr>
        <w:t xml:space="preserve"> or </w:t>
      </w:r>
      <w:hyperlink r:id="rId29" w:history="1">
        <w:r w:rsidR="00DD701D" w:rsidRPr="00DD701D">
          <w:rPr>
            <w:rStyle w:val="Hyperlink"/>
          </w:rPr>
          <w:t>Fact Sheet</w:t>
        </w:r>
      </w:hyperlink>
      <w:r w:rsidR="00DD701D" w:rsidRPr="0020631B">
        <w:rPr>
          <w:color w:val="FF0000"/>
        </w:rPr>
        <w:t xml:space="preserve"> from </w:t>
      </w:r>
      <w:hyperlink r:id="rId30"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0"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0"/>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1"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0571C76A" w14:textId="4B715C65" w:rsidR="00DC0407" w:rsidRPr="00F438BC"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sidR="0010218C">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 xml:space="preserve">where and how hazardous materials will be stored and </w:t>
      </w:r>
      <w:r w:rsidRPr="002E5277">
        <w:rPr>
          <w:rFonts w:ascii="Arial" w:hAnsi="Arial" w:cs="Arial"/>
          <w:i/>
          <w:color w:val="FF0000"/>
          <w:sz w:val="20"/>
          <w:szCs w:val="20"/>
          <w:bdr w:val="none" w:sz="0" w:space="0" w:color="auto" w:frame="1"/>
        </w:rPr>
        <w:t>transported</w:t>
      </w:r>
      <w:r w:rsidR="00237179" w:rsidRPr="002E5277">
        <w:rPr>
          <w:rFonts w:ascii="Arial" w:hAnsi="Arial" w:cs="Arial"/>
          <w:i/>
          <w:color w:val="FF0000"/>
          <w:sz w:val="20"/>
          <w:szCs w:val="20"/>
          <w:bdr w:val="none" w:sz="0" w:space="0" w:color="auto" w:frame="1"/>
        </w:rPr>
        <w:t xml:space="preserve"> </w:t>
      </w:r>
      <w:commentRangeStart w:id="12"/>
      <w:r w:rsidR="00237179" w:rsidRPr="002E5277">
        <w:rPr>
          <w:rFonts w:ascii="Arial" w:hAnsi="Arial" w:cs="Arial"/>
          <w:i/>
          <w:color w:val="FF0000"/>
          <w:sz w:val="20"/>
          <w:szCs w:val="20"/>
          <w:bdr w:val="none" w:sz="0" w:space="0" w:color="auto" w:frame="1"/>
        </w:rPr>
        <w:t>in your lab</w:t>
      </w:r>
      <w:commentRangeEnd w:id="12"/>
      <w:r w:rsidR="00527564" w:rsidRPr="002E5277">
        <w:rPr>
          <w:rStyle w:val="CommentReference"/>
          <w:rFonts w:asciiTheme="minorHAnsi" w:hAnsiTheme="minorHAnsi" w:cstheme="minorBidi"/>
          <w:color w:val="auto"/>
        </w:rPr>
        <w:commentReference w:id="12"/>
      </w:r>
      <w:r w:rsidRPr="002E5277">
        <w:rPr>
          <w:rFonts w:ascii="Arial" w:hAnsi="Arial" w:cs="Arial"/>
          <w:i/>
          <w:color w:val="FF0000"/>
          <w:sz w:val="20"/>
          <w:szCs w:val="20"/>
          <w:bdr w:val="none" w:sz="0" w:space="0" w:color="auto" w:frame="1"/>
        </w:rPr>
        <w:t>.]</w:t>
      </w:r>
    </w:p>
    <w:bookmarkEnd w:id="11"/>
    <w:p w14:paraId="78FBE9E6" w14:textId="77777777" w:rsidR="00DC0407" w:rsidRDefault="00DC0407" w:rsidP="00DC0407">
      <w:pPr>
        <w:pStyle w:val="NormalWeb"/>
        <w:rPr>
          <w:rFonts w:ascii="Arial" w:hAnsi="Arial" w:cs="Arial"/>
          <w:i/>
          <w:sz w:val="20"/>
          <w:szCs w:val="20"/>
          <w:bdr w:val="none" w:sz="0" w:space="0" w:color="auto" w:frame="1"/>
        </w:rPr>
      </w:pPr>
    </w:p>
    <w:bookmarkStart w:id="13"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537177CC" w14:textId="07A0128F" w:rsidR="00DC0407" w:rsidRPr="00F438BC"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Indicate the waste disposal practices for the waste produced by this process.]</w:t>
      </w:r>
    </w:p>
    <w:p w14:paraId="486C70BD" w14:textId="77777777" w:rsidR="008B6A4A" w:rsidRDefault="00141A44" w:rsidP="00A42654">
      <w:pPr>
        <w:pStyle w:val="NormalWeb"/>
        <w:spacing w:before="0" w:beforeAutospacing="0" w:after="0" w:afterAutospacing="0"/>
        <w:rPr>
          <w:rFonts w:asciiTheme="minorHAnsi" w:hAnsiTheme="minorHAnsi" w:cstheme="minorHAnsi"/>
          <w:i/>
          <w:color w:val="FF0000"/>
          <w:sz w:val="22"/>
          <w:szCs w:val="22"/>
        </w:rPr>
      </w:pPr>
      <w:bookmarkStart w:id="14" w:name="_Hlk141267647"/>
      <w:bookmarkEnd w:id="13"/>
      <w:r w:rsidRPr="006B66DF">
        <w:rPr>
          <w:rFonts w:asciiTheme="minorHAnsi" w:hAnsiTheme="minorHAnsi" w:cstheme="minorHAnsi"/>
          <w:i/>
          <w:color w:val="FF0000"/>
          <w:sz w:val="22"/>
          <w:szCs w:val="22"/>
          <w:highlight w:val="yellow"/>
        </w:rPr>
        <w:t>[INCLUDE IF QUENCHING IS APPLICABLE FOR YOUR HCP, DELETE OTHERWISE:]</w:t>
      </w:r>
      <w:r w:rsidRPr="006B66DF">
        <w:rPr>
          <w:rFonts w:asciiTheme="minorHAnsi" w:hAnsiTheme="minorHAnsi" w:cstheme="minorHAnsi"/>
          <w:i/>
          <w:color w:val="FF0000"/>
          <w:sz w:val="22"/>
          <w:szCs w:val="22"/>
        </w:rPr>
        <w:t xml:space="preserve"> </w:t>
      </w:r>
      <w:bookmarkStart w:id="15" w:name="_Hlk156303407"/>
    </w:p>
    <w:p w14:paraId="5AA7200B" w14:textId="76B2E79D" w:rsidR="00A42654" w:rsidRPr="00064DD4" w:rsidRDefault="00A42654" w:rsidP="00A42654">
      <w:pPr>
        <w:pStyle w:val="NormalWeb"/>
        <w:spacing w:before="0" w:beforeAutospacing="0" w:after="0" w:afterAutospacing="0"/>
        <w:rPr>
          <w:rFonts w:ascii="Arial" w:hAnsi="Arial" w:cs="Arial"/>
          <w:i/>
          <w:color w:val="FF0000"/>
          <w:sz w:val="20"/>
          <w:szCs w:val="20"/>
        </w:rPr>
      </w:pPr>
      <w:r w:rsidRPr="00064DD4">
        <w:rPr>
          <w:rFonts w:ascii="Arial" w:hAnsi="Arial" w:cs="Arial"/>
          <w:i/>
          <w:color w:val="FF0000"/>
          <w:sz w:val="20"/>
          <w:szCs w:val="20"/>
        </w:rPr>
        <w:t>Quenching must only be done for:</w:t>
      </w:r>
    </w:p>
    <w:p w14:paraId="58852D79" w14:textId="7299E7D8" w:rsidR="00A42654" w:rsidRPr="00064DD4" w:rsidRDefault="00A42654" w:rsidP="008B6A4A">
      <w:pPr>
        <w:pStyle w:val="NormalWeb"/>
        <w:numPr>
          <w:ilvl w:val="0"/>
          <w:numId w:val="23"/>
        </w:numPr>
        <w:spacing w:before="0" w:beforeAutospacing="0"/>
        <w:rPr>
          <w:rFonts w:ascii="Arial" w:hAnsi="Arial" w:cs="Arial"/>
          <w:i/>
          <w:color w:val="FF0000"/>
          <w:sz w:val="20"/>
          <w:szCs w:val="20"/>
        </w:rPr>
      </w:pPr>
      <w:r w:rsidRPr="00064DD4">
        <w:rPr>
          <w:rFonts w:ascii="Arial" w:hAnsi="Arial" w:cs="Arial"/>
          <w:i/>
          <w:color w:val="FF0000"/>
          <w:sz w:val="20"/>
          <w:szCs w:val="20"/>
        </w:rPr>
        <w:t xml:space="preserve">A </w:t>
      </w:r>
      <w:r w:rsidR="009F1C06">
        <w:rPr>
          <w:rFonts w:ascii="Arial" w:hAnsi="Arial" w:cs="Arial"/>
          <w:i/>
          <w:color w:val="FF0000"/>
          <w:sz w:val="20"/>
          <w:szCs w:val="20"/>
        </w:rPr>
        <w:t>[</w:t>
      </w:r>
      <w:r w:rsidR="009F1C06" w:rsidRPr="00B317F0">
        <w:rPr>
          <w:rFonts w:ascii="Arial" w:hAnsi="Arial" w:cs="Arial"/>
          <w:i/>
          <w:color w:val="FF0000"/>
          <w:sz w:val="20"/>
          <w:szCs w:val="20"/>
          <w:highlight w:val="yellow"/>
        </w:rPr>
        <w:t>type of sensitive comp</w:t>
      </w:r>
      <w:r w:rsidR="00B317F0" w:rsidRPr="00B317F0">
        <w:rPr>
          <w:rFonts w:ascii="Arial" w:hAnsi="Arial" w:cs="Arial"/>
          <w:i/>
          <w:color w:val="FF0000"/>
          <w:sz w:val="20"/>
          <w:szCs w:val="20"/>
          <w:highlight w:val="yellow"/>
        </w:rPr>
        <w:t>ound</w:t>
      </w:r>
      <w:r w:rsidR="00B317F0">
        <w:rPr>
          <w:rFonts w:ascii="Arial" w:hAnsi="Arial" w:cs="Arial"/>
          <w:i/>
          <w:color w:val="FF0000"/>
          <w:sz w:val="20"/>
          <w:szCs w:val="20"/>
        </w:rPr>
        <w:t>]</w:t>
      </w:r>
      <w:r w:rsidRPr="00064DD4">
        <w:rPr>
          <w:rFonts w:ascii="Arial" w:hAnsi="Arial" w:cs="Arial"/>
          <w:i/>
          <w:color w:val="FF0000"/>
          <w:sz w:val="20"/>
          <w:szCs w:val="20"/>
        </w:rPr>
        <w:t xml:space="preserve"> in a container unsafe for transport.</w:t>
      </w:r>
    </w:p>
    <w:p w14:paraId="082E4EE1" w14:textId="3DCD2417" w:rsidR="00A42654" w:rsidRPr="00C9379E" w:rsidRDefault="00A42654" w:rsidP="00A42654">
      <w:pPr>
        <w:pStyle w:val="NormalWeb"/>
        <w:numPr>
          <w:ilvl w:val="1"/>
          <w:numId w:val="23"/>
        </w:numPr>
        <w:rPr>
          <w:rFonts w:ascii="Arial" w:hAnsi="Arial" w:cs="Arial"/>
          <w:i/>
          <w:color w:val="FF0000"/>
          <w:sz w:val="20"/>
          <w:szCs w:val="20"/>
        </w:rPr>
      </w:pPr>
      <w:r w:rsidRPr="00064DD4">
        <w:rPr>
          <w:rFonts w:ascii="Arial" w:hAnsi="Arial" w:cs="Arial"/>
          <w:i/>
          <w:color w:val="FF0000"/>
          <w:sz w:val="20"/>
          <w:szCs w:val="20"/>
        </w:rPr>
        <w:t>e.g. Schlenk flasks, round-bottom flasks</w:t>
      </w:r>
      <w:r w:rsidRPr="00C9379E">
        <w:rPr>
          <w:rFonts w:ascii="Arial" w:hAnsi="Arial" w:cs="Arial"/>
          <w:i/>
          <w:color w:val="FF0000"/>
          <w:sz w:val="20"/>
          <w:szCs w:val="20"/>
        </w:rPr>
        <w:t xml:space="preserve">, and similar glassware </w:t>
      </w:r>
      <w:r w:rsidR="00B317F0">
        <w:rPr>
          <w:rFonts w:ascii="Arial" w:hAnsi="Arial" w:cs="Arial"/>
          <w:i/>
          <w:iCs/>
          <w:color w:val="FF0000"/>
          <w:sz w:val="20"/>
          <w:szCs w:val="20"/>
        </w:rPr>
        <w:t>should</w:t>
      </w:r>
      <w:r w:rsidRPr="00C9379E">
        <w:rPr>
          <w:rFonts w:ascii="Arial" w:hAnsi="Arial" w:cs="Arial"/>
          <w:i/>
          <w:color w:val="FF0000"/>
          <w:sz w:val="20"/>
          <w:szCs w:val="20"/>
        </w:rPr>
        <w:t xml:space="preserve"> be quenched.</w:t>
      </w:r>
    </w:p>
    <w:p w14:paraId="7394D1FF" w14:textId="56E18E13" w:rsidR="00A42654" w:rsidRPr="00064DD4" w:rsidRDefault="00A42654" w:rsidP="00A42654">
      <w:pPr>
        <w:pStyle w:val="NormalWeb"/>
        <w:numPr>
          <w:ilvl w:val="1"/>
          <w:numId w:val="23"/>
        </w:numPr>
        <w:rPr>
          <w:rFonts w:ascii="Arial" w:hAnsi="Arial" w:cs="Arial"/>
          <w:i/>
          <w:color w:val="FF0000"/>
          <w:sz w:val="20"/>
          <w:szCs w:val="20"/>
        </w:rPr>
      </w:pPr>
      <w:r w:rsidRPr="00C9379E">
        <w:rPr>
          <w:rFonts w:ascii="Arial" w:hAnsi="Arial" w:cs="Arial"/>
          <w:i/>
          <w:color w:val="FF0000"/>
          <w:sz w:val="20"/>
          <w:szCs w:val="20"/>
        </w:rPr>
        <w:t xml:space="preserve">A </w:t>
      </w:r>
      <w:r w:rsidR="00317C90">
        <w:rPr>
          <w:rFonts w:ascii="Arial" w:hAnsi="Arial" w:cs="Arial"/>
          <w:i/>
          <w:color w:val="FF0000"/>
          <w:sz w:val="20"/>
          <w:szCs w:val="20"/>
        </w:rPr>
        <w:t xml:space="preserve">container with a </w:t>
      </w:r>
      <w:proofErr w:type="spellStart"/>
      <w:r w:rsidRPr="00C9379E">
        <w:rPr>
          <w:rFonts w:ascii="Arial" w:hAnsi="Arial" w:cs="Arial"/>
          <w:i/>
          <w:color w:val="FF0000"/>
          <w:sz w:val="20"/>
          <w:szCs w:val="20"/>
        </w:rPr>
        <w:t>SureSeal</w:t>
      </w:r>
      <w:proofErr w:type="spellEnd"/>
      <w:r w:rsidR="00317C90">
        <w:rPr>
          <w:rFonts w:ascii="Arial" w:hAnsi="Arial" w:cs="Arial"/>
          <w:i/>
          <w:color w:val="FF0000"/>
          <w:sz w:val="20"/>
          <w:szCs w:val="20"/>
        </w:rPr>
        <w:t xml:space="preserve"> </w:t>
      </w:r>
      <w:r w:rsidRPr="00C9379E">
        <w:rPr>
          <w:rFonts w:ascii="Arial" w:hAnsi="Arial" w:cs="Arial"/>
          <w:i/>
          <w:color w:val="FF0000"/>
          <w:sz w:val="20"/>
          <w:szCs w:val="20"/>
        </w:rPr>
        <w:t>(or equivalent</w:t>
      </w:r>
      <w:r w:rsidR="00317C90">
        <w:rPr>
          <w:rFonts w:ascii="Arial" w:hAnsi="Arial" w:cs="Arial"/>
          <w:i/>
          <w:color w:val="FF0000"/>
          <w:sz w:val="20"/>
          <w:szCs w:val="20"/>
        </w:rPr>
        <w:t xml:space="preserve"> stopper</w:t>
      </w:r>
      <w:r w:rsidRPr="00C9379E">
        <w:rPr>
          <w:rFonts w:ascii="Arial" w:hAnsi="Arial" w:cs="Arial"/>
          <w:i/>
          <w:color w:val="FF0000"/>
          <w:sz w:val="20"/>
          <w:szCs w:val="20"/>
        </w:rPr>
        <w:t>)</w:t>
      </w:r>
      <w:r w:rsidR="00317C90">
        <w:rPr>
          <w:rFonts w:ascii="Arial" w:hAnsi="Arial" w:cs="Arial"/>
          <w:i/>
          <w:color w:val="FF0000"/>
          <w:sz w:val="20"/>
          <w:szCs w:val="20"/>
        </w:rPr>
        <w:t xml:space="preserve"> </w:t>
      </w:r>
      <w:r w:rsidR="00064DD4" w:rsidRPr="00C9379E">
        <w:rPr>
          <w:rFonts w:ascii="Arial" w:hAnsi="Arial" w:cs="Arial"/>
          <w:i/>
          <w:iCs/>
          <w:color w:val="FF0000"/>
          <w:sz w:val="20"/>
          <w:szCs w:val="20"/>
        </w:rPr>
        <w:t>must</w:t>
      </w:r>
      <w:r w:rsidRPr="00064DD4">
        <w:rPr>
          <w:rFonts w:ascii="Arial" w:hAnsi="Arial" w:cs="Arial"/>
          <w:i/>
          <w:iCs/>
          <w:color w:val="FF0000"/>
          <w:sz w:val="20"/>
          <w:szCs w:val="20"/>
        </w:rPr>
        <w:t xml:space="preserve"> not</w:t>
      </w:r>
      <w:r w:rsidRPr="00064DD4">
        <w:rPr>
          <w:rFonts w:ascii="Arial" w:hAnsi="Arial" w:cs="Arial"/>
          <w:i/>
          <w:color w:val="FF0000"/>
          <w:sz w:val="20"/>
          <w:szCs w:val="20"/>
        </w:rPr>
        <w:t xml:space="preserve"> be quenched.</w:t>
      </w:r>
    </w:p>
    <w:p w14:paraId="2F490FAF" w14:textId="77777777" w:rsidR="00A42654" w:rsidRPr="00064DD4" w:rsidRDefault="00A42654" w:rsidP="00A42654">
      <w:pPr>
        <w:pStyle w:val="NormalWeb"/>
        <w:numPr>
          <w:ilvl w:val="0"/>
          <w:numId w:val="23"/>
        </w:numPr>
        <w:rPr>
          <w:rFonts w:ascii="Arial" w:hAnsi="Arial" w:cs="Arial"/>
          <w:i/>
          <w:color w:val="FF0000"/>
          <w:sz w:val="20"/>
          <w:szCs w:val="20"/>
        </w:rPr>
      </w:pPr>
      <w:r w:rsidRPr="00064DD4">
        <w:rPr>
          <w:rFonts w:ascii="Arial" w:hAnsi="Arial" w:cs="Arial"/>
          <w:i/>
          <w:color w:val="FF0000"/>
          <w:sz w:val="20"/>
          <w:szCs w:val="20"/>
        </w:rPr>
        <w:t>Equipment that needs to be reused.</w:t>
      </w:r>
    </w:p>
    <w:p w14:paraId="20EB83B8" w14:textId="0318962B" w:rsidR="00A42654" w:rsidRPr="00064DD4" w:rsidRDefault="00FE7E6F" w:rsidP="00A42654">
      <w:pPr>
        <w:pStyle w:val="NormalWeb"/>
        <w:numPr>
          <w:ilvl w:val="0"/>
          <w:numId w:val="23"/>
        </w:numPr>
        <w:rPr>
          <w:rFonts w:ascii="Arial" w:hAnsi="Arial" w:cs="Arial"/>
          <w:i/>
          <w:color w:val="FF0000"/>
          <w:sz w:val="20"/>
          <w:szCs w:val="20"/>
        </w:rPr>
      </w:pPr>
      <w:r>
        <w:rPr>
          <w:rFonts w:ascii="Arial" w:hAnsi="Arial" w:cs="Arial"/>
          <w:i/>
          <w:color w:val="FF0000"/>
          <w:sz w:val="20"/>
          <w:szCs w:val="20"/>
        </w:rPr>
        <w:t>Minimally c</w:t>
      </w:r>
      <w:r w:rsidR="00A42654" w:rsidRPr="00064DD4">
        <w:rPr>
          <w:rFonts w:ascii="Arial" w:hAnsi="Arial" w:cs="Arial"/>
          <w:i/>
          <w:color w:val="FF0000"/>
          <w:sz w:val="20"/>
          <w:szCs w:val="20"/>
        </w:rPr>
        <w:t>ontaminated debris/articles that could convey the pyrophoric hazard but can’t be safely packaged and transported.</w:t>
      </w:r>
    </w:p>
    <w:p w14:paraId="0628E6D7" w14:textId="2D1E404B" w:rsidR="00A42654" w:rsidRPr="00064DD4" w:rsidRDefault="00A42654" w:rsidP="00A42654">
      <w:pPr>
        <w:pStyle w:val="NormalWeb"/>
        <w:numPr>
          <w:ilvl w:val="1"/>
          <w:numId w:val="23"/>
        </w:numPr>
        <w:rPr>
          <w:rFonts w:ascii="Arial" w:hAnsi="Arial" w:cs="Arial"/>
          <w:i/>
          <w:color w:val="FF0000"/>
          <w:sz w:val="20"/>
          <w:szCs w:val="20"/>
        </w:rPr>
      </w:pPr>
      <w:r w:rsidRPr="00064DD4">
        <w:rPr>
          <w:rFonts w:ascii="Arial" w:hAnsi="Arial" w:cs="Arial"/>
          <w:i/>
          <w:color w:val="FF0000"/>
          <w:sz w:val="20"/>
          <w:szCs w:val="20"/>
        </w:rPr>
        <w:t>e.g. contaminated Kimwipes, Pasteur pipettes</w:t>
      </w:r>
      <w:r w:rsidR="00636FD5">
        <w:rPr>
          <w:rFonts w:ascii="Arial" w:hAnsi="Arial" w:cs="Arial"/>
          <w:i/>
          <w:color w:val="FF0000"/>
          <w:sz w:val="20"/>
          <w:szCs w:val="20"/>
        </w:rPr>
        <w:t xml:space="preserve">, trash, </w:t>
      </w:r>
      <w:proofErr w:type="gramStart"/>
      <w:r w:rsidR="00636FD5">
        <w:rPr>
          <w:rFonts w:ascii="Arial" w:hAnsi="Arial" w:cs="Arial"/>
          <w:i/>
          <w:color w:val="FF0000"/>
          <w:sz w:val="20"/>
          <w:szCs w:val="20"/>
        </w:rPr>
        <w:t>etc.</w:t>
      </w:r>
      <w:r w:rsidRPr="00064DD4">
        <w:rPr>
          <w:rFonts w:ascii="Arial" w:hAnsi="Arial" w:cs="Arial"/>
          <w:i/>
          <w:color w:val="FF0000"/>
          <w:sz w:val="20"/>
          <w:szCs w:val="20"/>
        </w:rPr>
        <w:t>.</w:t>
      </w:r>
      <w:proofErr w:type="gramEnd"/>
    </w:p>
    <w:p w14:paraId="6A2C7409" w14:textId="25CB6486" w:rsidR="00A42654" w:rsidRPr="00C9379E" w:rsidRDefault="00A42654" w:rsidP="00A42654">
      <w:pPr>
        <w:pStyle w:val="NormalWeb"/>
        <w:numPr>
          <w:ilvl w:val="0"/>
          <w:numId w:val="23"/>
        </w:numPr>
        <w:spacing w:before="0" w:beforeAutospacing="0" w:after="0" w:afterAutospacing="0"/>
        <w:rPr>
          <w:rFonts w:ascii="Arial" w:hAnsi="Arial" w:cs="Arial"/>
          <w:i/>
          <w:color w:val="FF0000"/>
          <w:sz w:val="20"/>
          <w:szCs w:val="20"/>
        </w:rPr>
      </w:pPr>
      <w:r w:rsidRPr="00064DD4">
        <w:rPr>
          <w:rFonts w:ascii="Arial" w:hAnsi="Arial" w:cs="Arial"/>
          <w:i/>
          <w:color w:val="FF0000"/>
          <w:sz w:val="20"/>
          <w:szCs w:val="20"/>
        </w:rPr>
        <w:t xml:space="preserve">If you have a question about quenching/disposal, </w:t>
      </w:r>
      <w:r w:rsidRPr="00C9379E">
        <w:rPr>
          <w:rFonts w:ascii="Arial" w:hAnsi="Arial" w:cs="Arial"/>
          <w:i/>
          <w:color w:val="FF0000"/>
          <w:sz w:val="20"/>
          <w:szCs w:val="20"/>
        </w:rPr>
        <w:t xml:space="preserve">contact </w:t>
      </w:r>
      <w:hyperlink r:id="rId31" w:history="1">
        <w:r w:rsidR="00AC48BE" w:rsidRPr="00C9379E">
          <w:rPr>
            <w:rStyle w:val="Hyperlink"/>
            <w:rFonts w:ascii="Arial" w:hAnsi="Arial" w:cs="Arial"/>
            <w:i/>
            <w:sz w:val="20"/>
            <w:szCs w:val="20"/>
          </w:rPr>
          <w:t>chem_waste@lists.upenn.edu</w:t>
        </w:r>
      </w:hyperlink>
      <w:r w:rsidRPr="00C9379E">
        <w:rPr>
          <w:rFonts w:ascii="Arial" w:hAnsi="Arial" w:cs="Arial"/>
          <w:i/>
          <w:color w:val="FF0000"/>
          <w:sz w:val="20"/>
          <w:szCs w:val="20"/>
        </w:rPr>
        <w:t>.</w:t>
      </w:r>
      <w:r w:rsidR="00AC48BE" w:rsidRPr="00C9379E">
        <w:rPr>
          <w:rFonts w:ascii="Arial" w:hAnsi="Arial" w:cs="Arial"/>
          <w:i/>
          <w:color w:val="FF0000"/>
          <w:sz w:val="20"/>
          <w:szCs w:val="20"/>
        </w:rPr>
        <w:t xml:space="preserve"> </w:t>
      </w:r>
    </w:p>
    <w:bookmarkEnd w:id="14"/>
    <w:bookmarkEnd w:id="15"/>
    <w:p w14:paraId="42EBB27B" w14:textId="33B9343A" w:rsidR="009E2472" w:rsidRPr="009E2472" w:rsidRDefault="009E2472" w:rsidP="00141A44">
      <w:pPr>
        <w:pStyle w:val="NormalWeb"/>
        <w:rPr>
          <w:rFonts w:ascii="Arial" w:hAnsi="Arial" w:cs="Arial"/>
          <w:i/>
          <w:iCs/>
          <w:color w:val="FF0000"/>
          <w:sz w:val="20"/>
          <w:szCs w:val="20"/>
        </w:rPr>
      </w:pPr>
      <w:r w:rsidRPr="00C9379E">
        <w:rPr>
          <w:rFonts w:ascii="Arial" w:hAnsi="Arial" w:cs="Arial"/>
          <w:i/>
          <w:iCs/>
          <w:color w:val="FF0000"/>
          <w:sz w:val="20"/>
          <w:szCs w:val="20"/>
        </w:rPr>
        <w:t>[Explicit quenching instructions</w:t>
      </w:r>
      <w:r w:rsidR="00D2549C" w:rsidRPr="00C9379E">
        <w:rPr>
          <w:rFonts w:ascii="Arial" w:hAnsi="Arial" w:cs="Arial"/>
          <w:i/>
          <w:iCs/>
          <w:color w:val="FF0000"/>
          <w:sz w:val="20"/>
          <w:szCs w:val="20"/>
        </w:rPr>
        <w:t xml:space="preserve"> (if applicable)</w:t>
      </w:r>
      <w:r w:rsidRPr="00C9379E">
        <w:rPr>
          <w:rFonts w:ascii="Arial" w:hAnsi="Arial" w:cs="Arial"/>
          <w:i/>
          <w:iCs/>
          <w:color w:val="FF0000"/>
          <w:sz w:val="20"/>
          <w:szCs w:val="20"/>
        </w:rPr>
        <w:t xml:space="preserve"> must be included here;</w:t>
      </w:r>
      <w:r w:rsidRPr="00C9379E">
        <w:rPr>
          <w:rFonts w:ascii="Arial" w:hAnsi="Arial" w:cs="Arial"/>
          <w:color w:val="auto"/>
          <w:sz w:val="20"/>
          <w:szCs w:val="20"/>
        </w:rPr>
        <w:t xml:space="preserve"> </w:t>
      </w:r>
      <w:r w:rsidRPr="00C9379E">
        <w:rPr>
          <w:rFonts w:ascii="Arial" w:hAnsi="Arial" w:cs="Arial"/>
          <w:i/>
          <w:iCs/>
          <w:color w:val="FF0000"/>
          <w:sz w:val="20"/>
          <w:szCs w:val="20"/>
        </w:rPr>
        <w:t>instructions from earlier in the document may be summarized.]</w:t>
      </w:r>
    </w:p>
    <w:p w14:paraId="2E8911C5" w14:textId="47FA2A9E" w:rsidR="00141A44" w:rsidRPr="006B66DF" w:rsidRDefault="002C1105" w:rsidP="00141A44">
      <w:pPr>
        <w:pStyle w:val="NormalWeb"/>
        <w:rPr>
          <w:rFonts w:ascii="Arial" w:eastAsia="Times New Roman" w:hAnsi="Arial" w:cs="Arial"/>
          <w:i/>
          <w:iCs/>
          <w:color w:val="FF0000"/>
          <w:sz w:val="20"/>
          <w:szCs w:val="20"/>
        </w:rPr>
      </w:pPr>
      <w:bookmarkStart w:id="16" w:name="_Hlk157432498"/>
      <w:r w:rsidRPr="002C1105">
        <w:rPr>
          <w:rFonts w:ascii="Arial" w:eastAsia="Times New Roman" w:hAnsi="Arial" w:cs="Arial"/>
          <w:b/>
          <w:bCs/>
          <w:i/>
          <w:iCs/>
          <w:color w:val="FF0000"/>
          <w:sz w:val="20"/>
          <w:szCs w:val="20"/>
        </w:rPr>
        <w:t>Collect quenched reagents and other solutions used for quenching</w:t>
      </w:r>
      <w:r w:rsidRPr="002C1105">
        <w:rPr>
          <w:rFonts w:ascii="Arial" w:eastAsia="Times New Roman" w:hAnsi="Arial" w:cs="Arial"/>
          <w:i/>
          <w:iCs/>
          <w:color w:val="FF0000"/>
          <w:sz w:val="20"/>
          <w:szCs w:val="20"/>
        </w:rPr>
        <w:t xml:space="preserve"> in a separate container(s) from other wastes. Use a hazardous waste tag to label the container with </w:t>
      </w:r>
      <w:proofErr w:type="gramStart"/>
      <w:r w:rsidRPr="002C1105">
        <w:rPr>
          <w:rFonts w:ascii="Arial" w:eastAsia="Times New Roman" w:hAnsi="Arial" w:cs="Arial"/>
          <w:i/>
          <w:iCs/>
          <w:color w:val="FF0000"/>
          <w:sz w:val="20"/>
          <w:szCs w:val="20"/>
        </w:rPr>
        <w:t>all of</w:t>
      </w:r>
      <w:proofErr w:type="gramEnd"/>
      <w:r w:rsidRPr="002C1105">
        <w:rPr>
          <w:rFonts w:ascii="Arial" w:eastAsia="Times New Roman" w:hAnsi="Arial" w:cs="Arial"/>
          <w:i/>
          <w:iCs/>
          <w:color w:val="FF0000"/>
          <w:sz w:val="20"/>
          <w:szCs w:val="20"/>
        </w:rPr>
        <w:t xml:space="preserve"> the constituents of the quenched mixture (</w:t>
      </w:r>
      <w:commentRangeStart w:id="17"/>
      <w:r w:rsidRPr="002C1105">
        <w:rPr>
          <w:rFonts w:ascii="Arial" w:eastAsia="Times New Roman" w:hAnsi="Arial" w:cs="Arial"/>
          <w:i/>
          <w:iCs/>
          <w:color w:val="FF0000"/>
          <w:sz w:val="20"/>
          <w:szCs w:val="20"/>
        </w:rPr>
        <w:t xml:space="preserve">e.g. for quenched diazomethane solutions: list the reaction products “methyl ethanoate,” etc. </w:t>
      </w:r>
      <w:commentRangeStart w:id="18"/>
      <w:r w:rsidRPr="002C1105">
        <w:rPr>
          <w:rFonts w:ascii="Arial" w:eastAsia="Times New Roman" w:hAnsi="Arial" w:cs="Arial"/>
          <w:i/>
          <w:iCs/>
          <w:color w:val="FF0000"/>
          <w:sz w:val="20"/>
          <w:szCs w:val="20"/>
        </w:rPr>
        <w:t>along with other waste components</w:t>
      </w:r>
      <w:commentRangeEnd w:id="18"/>
      <w:r w:rsidRPr="002C1105">
        <w:rPr>
          <w:rFonts w:ascii="Arial" w:eastAsia="Times New Roman" w:hAnsi="Arial" w:cs="Arial"/>
          <w:i/>
          <w:iCs/>
          <w:color w:val="FF0000"/>
          <w:sz w:val="20"/>
          <w:szCs w:val="20"/>
        </w:rPr>
        <w:commentReference w:id="18"/>
      </w:r>
      <w:r w:rsidRPr="002C1105">
        <w:rPr>
          <w:rFonts w:ascii="Arial" w:eastAsia="Times New Roman" w:hAnsi="Arial" w:cs="Arial"/>
          <w:i/>
          <w:iCs/>
          <w:color w:val="FF0000"/>
          <w:sz w:val="20"/>
          <w:szCs w:val="20"/>
        </w:rPr>
        <w:t>; do NOT write “diazomethane quench,” or “diazomethane”</w:t>
      </w:r>
      <w:commentRangeEnd w:id="17"/>
      <w:r w:rsidRPr="002C1105">
        <w:rPr>
          <w:rFonts w:ascii="Arial" w:eastAsia="Times New Roman" w:hAnsi="Arial" w:cs="Arial"/>
          <w:i/>
          <w:iCs/>
          <w:color w:val="FF0000"/>
          <w:sz w:val="20"/>
          <w:szCs w:val="20"/>
        </w:rPr>
        <w:commentReference w:id="17"/>
      </w:r>
      <w:r w:rsidRPr="002C1105">
        <w:rPr>
          <w:rFonts w:ascii="Arial" w:eastAsia="Times New Roman" w:hAnsi="Arial" w:cs="Arial"/>
          <w:i/>
          <w:iCs/>
          <w:color w:val="FF0000"/>
          <w:sz w:val="20"/>
          <w:szCs w:val="20"/>
        </w:rPr>
        <w:t xml:space="preserve">). EHRS staff needs this information to handle the material safely and avoid placing incompatible materials inside the same container. Move the tagged material to a Satellite Waste Accumulation Area. Request EHRS waste pickup using the online form </w:t>
      </w:r>
      <w:hyperlink r:id="rId32" w:history="1">
        <w:r w:rsidRPr="002C1105">
          <w:rPr>
            <w:rStyle w:val="Hyperlink"/>
            <w:rFonts w:ascii="Arial" w:eastAsia="Times New Roman" w:hAnsi="Arial" w:cs="Arial"/>
            <w:i/>
            <w:iCs/>
            <w:sz w:val="20"/>
            <w:szCs w:val="20"/>
          </w:rPr>
          <w:t>here</w:t>
        </w:r>
      </w:hyperlink>
      <w:r w:rsidR="00141A44" w:rsidRPr="006B66DF">
        <w:rPr>
          <w:rFonts w:ascii="Arial" w:eastAsia="Times New Roman" w:hAnsi="Arial" w:cs="Arial"/>
          <w:i/>
          <w:iCs/>
          <w:color w:val="FF0000"/>
          <w:sz w:val="20"/>
          <w:szCs w:val="20"/>
        </w:rPr>
        <w:t>.</w:t>
      </w:r>
    </w:p>
    <w:p w14:paraId="3AA26DBE" w14:textId="77777777" w:rsidR="00F70004" w:rsidRPr="008C025A" w:rsidRDefault="00F70004" w:rsidP="00F70004">
      <w:pPr>
        <w:pStyle w:val="NormalWeb"/>
        <w:rPr>
          <w:rFonts w:ascii="Arial" w:hAnsi="Arial" w:cs="Arial"/>
          <w:bCs/>
          <w:i/>
          <w:iCs/>
          <w:sz w:val="20"/>
          <w:szCs w:val="20"/>
          <w:bdr w:val="none" w:sz="0" w:space="0" w:color="auto" w:frame="1"/>
        </w:rPr>
      </w:pPr>
      <w:bookmarkStart w:id="19" w:name="_Hlk149815506"/>
      <w:bookmarkStart w:id="20" w:name="_Hlk142040222"/>
      <w:bookmarkEnd w:id="16"/>
      <w:r w:rsidRPr="008C025A">
        <w:rPr>
          <w:rFonts w:ascii="Arial" w:hAnsi="Arial" w:cs="Arial"/>
          <w:bCs/>
          <w:i/>
          <w:iCs/>
          <w:sz w:val="20"/>
          <w:szCs w:val="20"/>
          <w:bdr w:val="none" w:sz="0" w:space="0" w:color="auto" w:frame="1"/>
        </w:rPr>
        <w:t>All quenched sharps used in delivery of pyrophoric material must be disposed of in a puncture-resistant, infectious waste sharps container clearly labeled "CHEMICAL CONTAMINATED SHARPS -- DO NOT AUTOCLAVE". </w:t>
      </w:r>
      <w:r w:rsidRPr="008C025A">
        <w:rPr>
          <w:rFonts w:ascii="Arial" w:hAnsi="Arial" w:cs="Arial"/>
          <w:b/>
          <w:bCs/>
          <w:i/>
          <w:iCs/>
          <w:sz w:val="20"/>
          <w:szCs w:val="20"/>
          <w:bdr w:val="none" w:sz="0" w:space="0" w:color="auto" w:frame="1"/>
        </w:rPr>
        <w:t>Discard the sharps container as infectious waste without autoclaving when it is 3/4 full</w:t>
      </w:r>
      <w:r w:rsidRPr="008C025A">
        <w:rPr>
          <w:rFonts w:ascii="Arial" w:hAnsi="Arial" w:cs="Arial"/>
          <w:bCs/>
          <w:i/>
          <w:iCs/>
          <w:sz w:val="20"/>
          <w:szCs w:val="20"/>
          <w:bdr w:val="none" w:sz="0" w:space="0" w:color="auto" w:frame="1"/>
        </w:rPr>
        <w:t>.</w:t>
      </w:r>
    </w:p>
    <w:p w14:paraId="430DA899" w14:textId="530D88C5" w:rsidR="00DC0407" w:rsidRDefault="00F70004" w:rsidP="00DC0407">
      <w:pPr>
        <w:pStyle w:val="NormalWeb"/>
        <w:rPr>
          <w:rFonts w:ascii="Arial" w:hAnsi="Arial" w:cs="Arial"/>
          <w:bCs/>
          <w:i/>
          <w:iCs/>
          <w:sz w:val="20"/>
          <w:szCs w:val="20"/>
          <w:bdr w:val="none" w:sz="0" w:space="0" w:color="auto" w:frame="1"/>
        </w:rPr>
      </w:pPr>
      <w:r w:rsidRPr="008C025A">
        <w:rPr>
          <w:rFonts w:ascii="Arial" w:hAnsi="Arial" w:cs="Arial"/>
          <w:bCs/>
          <w:i/>
          <w:sz w:val="20"/>
          <w:szCs w:val="20"/>
          <w:bdr w:val="none" w:sz="0" w:space="0" w:color="auto" w:frame="1"/>
        </w:rPr>
        <w:t>EHRS will take unwanted (full, used, or empty) pyrophoric reagent containers as hazardous waste.</w:t>
      </w:r>
      <w:r w:rsidRPr="008C025A">
        <w:rPr>
          <w:rFonts w:ascii="Arial" w:hAnsi="Arial" w:cs="Arial"/>
          <w:bCs/>
          <w:i/>
          <w:iCs/>
          <w:sz w:val="20"/>
          <w:szCs w:val="20"/>
          <w:bdr w:val="none" w:sz="0" w:space="0" w:color="auto" w:frame="1"/>
        </w:rPr>
        <w:t xml:space="preserve">DO NOT place a vent needle into the septum to “air quench” the bottle. Place a yellow waste tag on the container and submit it to EHRS’s waste group using the </w:t>
      </w:r>
      <w:r w:rsidRPr="008C025A">
        <w:rPr>
          <w:rFonts w:ascii="Arial" w:hAnsi="Arial" w:cs="Arial"/>
          <w:bCs/>
          <w:i/>
          <w:iCs/>
          <w:sz w:val="20"/>
          <w:szCs w:val="20"/>
          <w:bdr w:val="none" w:sz="0" w:space="0" w:color="auto" w:frame="1"/>
        </w:rPr>
        <w:lastRenderedPageBreak/>
        <w:t xml:space="preserve">online form </w:t>
      </w:r>
      <w:hyperlink r:id="rId33" w:history="1">
        <w:r w:rsidRPr="008C025A">
          <w:rPr>
            <w:rStyle w:val="Hyperlink"/>
            <w:rFonts w:ascii="Arial" w:hAnsi="Arial" w:cs="Arial"/>
            <w:bCs/>
            <w:i/>
            <w:iCs/>
            <w:sz w:val="20"/>
            <w:szCs w:val="20"/>
            <w:bdr w:val="none" w:sz="0" w:space="0" w:color="auto" w:frame="1"/>
          </w:rPr>
          <w:t>here</w:t>
        </w:r>
      </w:hyperlink>
      <w:r w:rsidRPr="008C025A">
        <w:rPr>
          <w:rFonts w:ascii="Arial" w:hAnsi="Arial" w:cs="Arial"/>
          <w:bCs/>
          <w:i/>
          <w:iCs/>
          <w:sz w:val="20"/>
          <w:szCs w:val="20"/>
          <w:bdr w:val="none" w:sz="0" w:space="0" w:color="auto" w:frame="1"/>
        </w:rPr>
        <w:t>.</w:t>
      </w:r>
      <w:r>
        <w:rPr>
          <w:rFonts w:ascii="Arial" w:hAnsi="Arial" w:cs="Arial"/>
          <w:bCs/>
          <w:i/>
          <w:iCs/>
          <w:sz w:val="20"/>
          <w:szCs w:val="20"/>
          <w:bdr w:val="none" w:sz="0" w:space="0" w:color="auto" w:frame="1"/>
        </w:rPr>
        <w:t xml:space="preserve"> </w:t>
      </w:r>
      <w:r w:rsidRPr="008C025A">
        <w:rPr>
          <w:rFonts w:ascii="Arial" w:hAnsi="Arial" w:cs="Arial"/>
          <w:bCs/>
          <w:i/>
          <w:iCs/>
          <w:sz w:val="20"/>
          <w:szCs w:val="20"/>
          <w:bdr w:val="none" w:sz="0" w:space="0" w:color="auto" w:frame="1"/>
        </w:rPr>
        <w:t xml:space="preserve">If you are concerned that a reagent bottle will deflagrate/detonate/etc. if moved for waste pickup, contact </w:t>
      </w:r>
      <w:hyperlink r:id="rId34" w:history="1">
        <w:r w:rsidRPr="008C025A">
          <w:rPr>
            <w:rStyle w:val="Hyperlink"/>
            <w:rFonts w:ascii="Arial" w:hAnsi="Arial" w:cs="Arial"/>
            <w:bCs/>
            <w:i/>
            <w:iCs/>
            <w:sz w:val="20"/>
            <w:szCs w:val="20"/>
            <w:bdr w:val="none" w:sz="0" w:space="0" w:color="auto" w:frame="1"/>
          </w:rPr>
          <w:t>chem_waste@lists.upenn.edu</w:t>
        </w:r>
      </w:hyperlink>
      <w:r w:rsidRPr="008C025A">
        <w:rPr>
          <w:rFonts w:ascii="Arial" w:hAnsi="Arial" w:cs="Arial"/>
          <w:bCs/>
          <w:i/>
          <w:iCs/>
          <w:sz w:val="20"/>
          <w:szCs w:val="20"/>
          <w:bdr w:val="none" w:sz="0" w:space="0" w:color="auto" w:frame="1"/>
        </w:rPr>
        <w:t xml:space="preserve"> for advice.</w:t>
      </w:r>
      <w:bookmarkEnd w:id="19"/>
      <w:bookmarkEnd w:id="20"/>
    </w:p>
    <w:p w14:paraId="6FEA1731" w14:textId="77777777" w:rsidR="00AE3B22" w:rsidRPr="00F70004" w:rsidRDefault="00AE3B22" w:rsidP="00DC0407">
      <w:pPr>
        <w:pStyle w:val="NormalWeb"/>
        <w:rPr>
          <w:rFonts w:ascii="Arial" w:hAnsi="Arial" w:cs="Arial"/>
          <w:bCs/>
          <w:i/>
          <w:sz w:val="20"/>
          <w:szCs w:val="20"/>
          <w:bdr w:val="none" w:sz="0" w:space="0" w:color="auto" w:frame="1"/>
        </w:rPr>
      </w:pPr>
    </w:p>
    <w:p w14:paraId="7E09C71A" w14:textId="77777777" w:rsidR="00DC0407" w:rsidRPr="00DC0407" w:rsidRDefault="00DC0407" w:rsidP="00DC0407">
      <w:pPr>
        <w:pStyle w:val="NormalWeb"/>
        <w:rPr>
          <w:color w:val="2E74B5" w:themeColor="accent1" w:themeShade="BF"/>
        </w:rPr>
      </w:pPr>
      <w:hyperlink r:id="rId35"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1" w:name="_Hlk156303721"/>
      <w:bookmarkStart w:id="22" w:name="_Hlk157433937"/>
      <w:r w:rsidRPr="0046557C">
        <w:rPr>
          <w:rFonts w:ascii="Arial" w:hAnsi="Arial" w:cs="Arial"/>
          <w:i/>
          <w:color w:val="FF0000"/>
          <w:sz w:val="20"/>
          <w:szCs w:val="20"/>
          <w:highlight w:val="yellow"/>
          <w:bdr w:val="none" w:sz="0" w:space="0" w:color="auto" w:frame="1"/>
        </w:rPr>
        <w:t>[</w:t>
      </w:r>
      <w:commentRangeStart w:id="23"/>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3"/>
      <w:r w:rsidR="00885192" w:rsidRPr="0046557C">
        <w:rPr>
          <w:rStyle w:val="CommentReference"/>
          <w:rFonts w:asciiTheme="minorHAnsi" w:hAnsiTheme="minorHAnsi" w:cstheme="minorBidi"/>
          <w:color w:val="auto"/>
          <w:highlight w:val="yellow"/>
        </w:rPr>
        <w:commentReference w:id="23"/>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24"/>
      <w:r w:rsidRPr="0046557C">
        <w:rPr>
          <w:rFonts w:ascii="Arial" w:hAnsi="Arial" w:cs="Arial"/>
          <w:b/>
          <w:bCs/>
          <w:i/>
          <w:color w:val="FF0000"/>
          <w:sz w:val="20"/>
          <w:szCs w:val="20"/>
          <w:highlight w:val="yellow"/>
          <w:bdr w:val="none" w:sz="0" w:space="0" w:color="auto" w:frame="1"/>
        </w:rPr>
        <w:t>evacuation procedures</w:t>
      </w:r>
      <w:commentRangeEnd w:id="24"/>
      <w:r w:rsidR="005F0C13" w:rsidRPr="0046557C">
        <w:rPr>
          <w:rStyle w:val="CommentReference"/>
          <w:rFonts w:asciiTheme="minorHAnsi" w:hAnsiTheme="minorHAnsi" w:cstheme="minorBidi"/>
          <w:b/>
          <w:bCs/>
          <w:color w:val="auto"/>
          <w:highlight w:val="yellow"/>
        </w:rPr>
        <w:commentReference w:id="24"/>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w:t>
      </w:r>
      <w:proofErr w:type="gramStart"/>
      <w:r w:rsidRPr="0046557C">
        <w:rPr>
          <w:rFonts w:ascii="Arial" w:hAnsi="Arial" w:cs="Arial"/>
          <w:i/>
          <w:color w:val="FF0000"/>
          <w:sz w:val="20"/>
          <w:szCs w:val="20"/>
          <w:highlight w:val="yellow"/>
          <w:bdr w:val="none" w:sz="0" w:space="0" w:color="auto" w:frame="1"/>
        </w:rPr>
        <w:t>particular process</w:t>
      </w:r>
      <w:proofErr w:type="gramEnd"/>
      <w:r w:rsidRPr="0046557C">
        <w:rPr>
          <w:rFonts w:ascii="Arial" w:hAnsi="Arial" w:cs="Arial"/>
          <w:i/>
          <w:color w:val="FF0000"/>
          <w:sz w:val="20"/>
          <w:szCs w:val="20"/>
          <w:highlight w:val="yellow"/>
          <w:bdr w:val="none" w:sz="0" w:space="0" w:color="auto" w:frame="1"/>
        </w:rPr>
        <w:t>.]</w:t>
      </w:r>
    </w:p>
    <w:bookmarkEnd w:id="21"/>
    <w:p w14:paraId="69D368DA" w14:textId="7F16794B"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A773CB"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Pr="0046557C">
        <w:rPr>
          <w:rFonts w:ascii="Arial" w:hAnsi="Arial" w:cs="Arial"/>
          <w:i/>
          <w:color w:val="FF0000"/>
          <w:sz w:val="20"/>
          <w:szCs w:val="20"/>
          <w:highlight w:val="yellow"/>
          <w:bdr w:val="none" w:sz="0" w:space="0" w:color="auto" w:frame="1"/>
        </w:rPr>
        <w:t>impact the safety of your operation?</w:t>
      </w:r>
      <w:r w:rsidR="005A7D1F" w:rsidRPr="0046557C">
        <w:rPr>
          <w:rFonts w:ascii="Arial" w:hAnsi="Arial" w:cs="Arial"/>
          <w:i/>
          <w:color w:val="FF0000"/>
          <w:sz w:val="20"/>
          <w:szCs w:val="20"/>
          <w:highlight w:val="yellow"/>
          <w:bdr w:val="none" w:sz="0" w:space="0" w:color="auto" w:frame="1"/>
        </w:rPr>
        <w:t xml:space="preserve"> 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25" w:name="_Hlk136960013"/>
      <w:bookmarkEnd w:id="22"/>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w:t>
      </w:r>
      <w:proofErr w:type="gramStart"/>
      <w:r w:rsidRPr="00A3418E">
        <w:rPr>
          <w:rFonts w:ascii="Arial" w:hAnsi="Arial" w:cs="Arial"/>
          <w:bCs/>
          <w:i/>
          <w:iCs/>
          <w:sz w:val="20"/>
          <w:szCs w:val="20"/>
          <w:bdr w:val="none" w:sz="0" w:space="0" w:color="auto" w:frame="1"/>
        </w:rPr>
        <w:t>doors</w:t>
      </w:r>
      <w:proofErr w:type="gramEnd"/>
      <w:r w:rsidRPr="00A3418E">
        <w:rPr>
          <w:rFonts w:ascii="Arial" w:hAnsi="Arial" w:cs="Arial"/>
          <w:bCs/>
          <w:i/>
          <w:iCs/>
          <w:sz w:val="20"/>
          <w:szCs w:val="20"/>
          <w:bdr w:val="none" w:sz="0" w:space="0" w:color="auto" w:frame="1"/>
        </w:rPr>
        <w:t xml:space="preserve">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26"/>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proofErr w:type="gramStart"/>
      <w:r w:rsidRPr="00A3418E">
        <w:rPr>
          <w:rFonts w:ascii="Arial" w:hAnsi="Arial" w:cs="Arial"/>
          <w:bCs/>
          <w:i/>
          <w:iCs/>
          <w:sz w:val="20"/>
          <w:szCs w:val="20"/>
          <w:bdr w:val="none" w:sz="0" w:space="0" w:color="auto" w:frame="1"/>
        </w:rPr>
        <w:t>calling</w:t>
      </w:r>
      <w:proofErr w:type="gramEnd"/>
      <w:r w:rsidRPr="00A3418E">
        <w:rPr>
          <w:rFonts w:ascii="Arial" w:hAnsi="Arial" w:cs="Arial"/>
          <w:bCs/>
          <w:i/>
          <w:iCs/>
          <w:sz w:val="20"/>
          <w:szCs w:val="20"/>
          <w:bdr w:val="none" w:sz="0" w:space="0" w:color="auto" w:frame="1"/>
        </w:rPr>
        <w:t xml:space="preserve">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26"/>
      <w:r>
        <w:rPr>
          <w:rStyle w:val="CommentReference"/>
          <w:rFonts w:asciiTheme="minorHAnsi" w:hAnsiTheme="minorHAnsi" w:cstheme="minorBidi"/>
          <w:color w:val="auto"/>
        </w:rPr>
        <w:commentReference w:id="26"/>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27"/>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28"/>
      <w:r w:rsidRPr="00A3418E">
        <w:rPr>
          <w:rFonts w:ascii="Arial" w:hAnsi="Arial" w:cs="Arial"/>
          <w:bCs/>
          <w:i/>
          <w:sz w:val="20"/>
          <w:szCs w:val="20"/>
          <w:highlight w:val="yellow"/>
          <w:bdr w:val="none" w:sz="0" w:space="0" w:color="auto" w:frame="1"/>
        </w:rPr>
        <w:t>specify class</w:t>
      </w:r>
      <w:commentRangeEnd w:id="28"/>
      <w:r>
        <w:rPr>
          <w:rStyle w:val="CommentReference"/>
          <w:rFonts w:asciiTheme="minorHAnsi" w:hAnsiTheme="minorHAnsi" w:cstheme="minorBidi"/>
          <w:color w:val="auto"/>
        </w:rPr>
        <w:commentReference w:id="28"/>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29"/>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29"/>
      <w:r>
        <w:rPr>
          <w:rStyle w:val="CommentReference"/>
          <w:rFonts w:asciiTheme="minorHAnsi" w:hAnsiTheme="minorHAnsi" w:cstheme="minorBidi"/>
          <w:color w:val="auto"/>
        </w:rPr>
        <w:commentReference w:id="29"/>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27"/>
      <w:r>
        <w:rPr>
          <w:rStyle w:val="CommentReference"/>
          <w:rFonts w:asciiTheme="minorHAnsi" w:hAnsiTheme="minorHAnsi" w:cstheme="minorBidi"/>
          <w:color w:val="auto"/>
        </w:rPr>
        <w:commentReference w:id="27"/>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30" w:name="_Hlk157434167"/>
      <w:bookmarkStart w:id="31" w:name="_Hlk141693518"/>
      <w:bookmarkEnd w:id="25"/>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3A9103CE"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w:t>
      </w:r>
      <w:r w:rsidR="006A4432">
        <w:rPr>
          <w:rFonts w:ascii="Arial" w:hAnsi="Arial" w:cs="Arial"/>
          <w:i/>
          <w:color w:val="auto"/>
          <w:sz w:val="20"/>
          <w:szCs w:val="20"/>
          <w:bdr w:val="none" w:sz="0" w:space="0" w:color="auto" w:frame="1"/>
        </w:rPr>
        <w:t>,</w:t>
      </w:r>
      <w:r w:rsidRPr="00FB598A">
        <w:rPr>
          <w:rFonts w:ascii="Arial" w:hAnsi="Arial" w:cs="Arial"/>
          <w:i/>
          <w:color w:val="auto"/>
          <w:sz w:val="20"/>
          <w:szCs w:val="20"/>
          <w:bdr w:val="none" w:sz="0" w:space="0" w:color="auto" w:frame="1"/>
        </w:rPr>
        <w:t xml:space="preserve"> call 215-573-3333 or 511 from a Penn campus phone.</w:t>
      </w:r>
      <w:bookmarkEnd w:id="30"/>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w:t>
      </w:r>
      <w:r w:rsidR="00FE4726">
        <w:rPr>
          <w:rFonts w:ascii="Arial" w:hAnsi="Arial" w:cs="Arial"/>
          <w:i/>
          <w:color w:val="auto"/>
          <w:sz w:val="20"/>
          <w:szCs w:val="20"/>
          <w:bdr w:val="none" w:sz="0" w:space="0" w:color="auto" w:frame="1"/>
        </w:rPr>
        <w:t xml:space="preserve">the sink, </w:t>
      </w:r>
      <w:r w:rsidRPr="00FB598A">
        <w:rPr>
          <w:rFonts w:ascii="Arial" w:hAnsi="Arial" w:cs="Arial"/>
          <w:i/>
          <w:color w:val="auto"/>
          <w:sz w:val="20"/>
          <w:szCs w:val="20"/>
          <w:bdr w:val="none" w:sz="0" w:space="0" w:color="auto" w:frame="1"/>
        </w:rPr>
        <w:t>safety shower</w:t>
      </w:r>
      <w:r w:rsidR="00FE4726">
        <w:rPr>
          <w:rFonts w:ascii="Arial" w:hAnsi="Arial" w:cs="Arial"/>
          <w:i/>
          <w:color w:val="auto"/>
          <w:sz w:val="20"/>
          <w:szCs w:val="20"/>
          <w:bdr w:val="none" w:sz="0" w:space="0" w:color="auto" w:frame="1"/>
        </w:rPr>
        <w:t>, or eyewash (as appropriate)</w:t>
      </w:r>
      <w:r w:rsidRPr="00FB598A">
        <w:rPr>
          <w:rFonts w:ascii="Arial" w:hAnsi="Arial" w:cs="Arial"/>
          <w:i/>
          <w:color w:val="auto"/>
          <w:sz w:val="20"/>
          <w:szCs w:val="20"/>
          <w:bdr w:val="none" w:sz="0" w:space="0" w:color="auto" w:frame="1"/>
        </w:rPr>
        <w:t xml:space="preserve">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lastRenderedPageBreak/>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31"/>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32"/>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32"/>
      <w:r w:rsidR="00EA267D">
        <w:rPr>
          <w:rStyle w:val="CommentReference"/>
        </w:rPr>
        <w:commentReference w:id="32"/>
      </w:r>
    </w:p>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4C697E">
          <w:headerReference w:type="default" r:id="rId36"/>
          <w:footerReference w:type="default" r:id="rId37"/>
          <w:type w:val="continuous"/>
          <w:pgSz w:w="12240" w:h="15840"/>
          <w:pgMar w:top="1440" w:right="288" w:bottom="1440" w:left="288" w:header="734" w:footer="950"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                </w:t>
      </w:r>
    </w:p>
    <w:p w14:paraId="10DB6FC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same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same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proofErr w:type="gramStart"/>
      <w:r w:rsidRPr="0096104B">
        <w:rPr>
          <w:rFonts w:ascii="Calibri" w:eastAsia="Calibri" w:hAnsi="Calibri" w:cs="Times New Roman"/>
        </w:rPr>
        <w:t>same</w:t>
      </w:r>
      <w:proofErr w:type="gramEnd"/>
      <w:r w:rsidRPr="0096104B">
        <w:rPr>
          <w:rFonts w:ascii="Calibri" w:eastAsia="Calibri" w:hAnsi="Calibri" w:cs="Times New Roman"/>
        </w:rPr>
        <w:t xml:space="preserv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77777777" w:rsidR="0096104B" w:rsidRPr="0096104B" w:rsidRDefault="0096104B" w:rsidP="0096104B">
      <w:pPr>
        <w:spacing w:after="0" w:line="240" w:lineRule="auto"/>
        <w:rPr>
          <w:rFonts w:ascii="Calibri" w:eastAsia="Calibri" w:hAnsi="Calibri" w:cs="Times New Roman"/>
        </w:rPr>
      </w:pPr>
      <w:proofErr w:type="gramStart"/>
      <w:r w:rsidRPr="0096104B">
        <w:rPr>
          <w:rFonts w:ascii="Calibri" w:eastAsia="Calibri" w:hAnsi="Calibri" w:cs="Times New Roman"/>
        </w:rPr>
        <w:t>Damages</w:t>
      </w:r>
      <w:proofErr w:type="gramEnd"/>
      <w:r w:rsidRPr="0096104B">
        <w:rPr>
          <w:rFonts w:ascii="Calibri" w:eastAsia="Calibri" w:hAnsi="Calibri" w:cs="Times New Roman"/>
        </w:rPr>
        <w:t xml:space="preserve"> would not result in downtime of more than a few </w:t>
      </w:r>
      <w:proofErr w:type="gramStart"/>
      <w:r w:rsidRPr="0096104B">
        <w:rPr>
          <w:rFonts w:ascii="Calibri" w:eastAsia="Calibri" w:hAnsi="Calibri" w:cs="Times New Roman"/>
        </w:rPr>
        <w:t>hour</w:t>
      </w:r>
      <w:proofErr w:type="gramEnd"/>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proofErr w:type="gramStart"/>
      <w:r w:rsidRPr="0096104B">
        <w:rPr>
          <w:rFonts w:ascii="Calibri" w:eastAsia="Calibri" w:hAnsi="Calibri" w:cs="Times New Roman"/>
        </w:rPr>
        <w:t>work days</w:t>
      </w:r>
      <w:proofErr w:type="gramEnd"/>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77777777" w:rsidR="0096104B" w:rsidRPr="0096104B" w:rsidRDefault="0096104B" w:rsidP="0096104B">
      <w:pPr>
        <w:spacing w:after="0" w:line="240" w:lineRule="auto"/>
        <w:rPr>
          <w:rFonts w:ascii="Calibri" w:eastAsia="Calibri" w:hAnsi="Calibri" w:cs="Times New Roman"/>
        </w:rPr>
      </w:pPr>
      <w:proofErr w:type="gramStart"/>
      <w:r w:rsidRPr="0096104B">
        <w:rPr>
          <w:rFonts w:ascii="Calibri" w:eastAsia="Calibri" w:hAnsi="Calibri" w:cs="Times New Roman"/>
        </w:rPr>
        <w:t>Damages</w:t>
      </w:r>
      <w:proofErr w:type="gramEnd"/>
      <w:r w:rsidRPr="0096104B">
        <w:rPr>
          <w:rFonts w:ascii="Calibri" w:eastAsia="Calibri" w:hAnsi="Calibri" w:cs="Times New Roman"/>
        </w:rPr>
        <w:t xml:space="preserve">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first-aid and/or would result in lost </w:t>
      </w:r>
      <w:proofErr w:type="gramStart"/>
      <w:r w:rsidRPr="0096104B">
        <w:rPr>
          <w:rFonts w:ascii="Calibri" w:eastAsia="Calibri" w:hAnsi="Calibri" w:cs="Times New Roman"/>
          <w:szCs w:val="20"/>
        </w:rPr>
        <w:t>work days</w:t>
      </w:r>
      <w:proofErr w:type="gramEnd"/>
      <w:r w:rsidRPr="0096104B">
        <w:rPr>
          <w:rFonts w:ascii="Calibri" w:eastAsia="Calibri" w:hAnsi="Calibri" w:cs="Times New Roman"/>
          <w:szCs w:val="20"/>
        </w:rPr>
        <w:t xml:space="preserve">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Damages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38"/>
          <w:footerReference w:type="default" r:id="rId39"/>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7B0262" w14:paraId="52F88DEA" w14:textId="77777777" w:rsidTr="00E53EC9">
        <w:trPr>
          <w:trHeight w:val="1379"/>
        </w:trPr>
        <w:tc>
          <w:tcPr>
            <w:tcW w:w="3330" w:type="dxa"/>
          </w:tcPr>
          <w:p w14:paraId="60D33E62" w14:textId="77777777" w:rsidR="007B0262" w:rsidRPr="0033379F" w:rsidRDefault="007B0262" w:rsidP="0062106A">
            <w:pPr>
              <w:rPr>
                <w:b/>
              </w:rPr>
            </w:pPr>
            <w:r>
              <w:rPr>
                <w:b/>
              </w:rPr>
              <w:t>Administrative [work practices]</w:t>
            </w:r>
          </w:p>
        </w:tc>
        <w:tc>
          <w:tcPr>
            <w:tcW w:w="8275" w:type="dxa"/>
            <w:gridSpan w:val="3"/>
          </w:tcPr>
          <w:p w14:paraId="230D1630" w14:textId="77777777" w:rsidR="007B0262" w:rsidRPr="00C9379E" w:rsidRDefault="007B0262" w:rsidP="0062106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let other group members stay alerted.</w:t>
            </w:r>
          </w:p>
          <w:p w14:paraId="4818E815" w14:textId="77777777" w:rsidR="007B0262" w:rsidRPr="00C9379E" w:rsidRDefault="007B0262" w:rsidP="0062106A">
            <w:pPr>
              <w:pStyle w:val="xmsolistparagraph"/>
              <w:ind w:left="0"/>
              <w:rPr>
                <w:rFonts w:eastAsia="Times New Roman"/>
              </w:rPr>
            </w:pPr>
            <w:r w:rsidRPr="00C9379E">
              <w:rPr>
                <w:rFonts w:eastAsia="Times New Roman"/>
              </w:rPr>
              <w:t>-Do not work with HF when alone in lab. Notify lab mates before working with HF.</w:t>
            </w:r>
          </w:p>
          <w:p w14:paraId="7E8C53C1" w14:textId="77777777" w:rsidR="007B0262" w:rsidRPr="00C9379E" w:rsidRDefault="007B0262" w:rsidP="0062106A">
            <w:pPr>
              <w:pStyle w:val="xmsolistparagraph"/>
              <w:ind w:left="0"/>
              <w:rPr>
                <w:rFonts w:eastAsia="Times New Roman"/>
              </w:rPr>
            </w:pPr>
            <w:r w:rsidRPr="00C9379E">
              <w:rPr>
                <w:rFonts w:eastAsia="Times New Roman"/>
              </w:rPr>
              <w:t>-Use an appropriately sized funnel for the size of the graduated cylinder.</w:t>
            </w:r>
          </w:p>
          <w:p w14:paraId="6876030E" w14:textId="77777777" w:rsidR="007B0262" w:rsidRPr="00C9379E" w:rsidRDefault="007B0262" w:rsidP="0062106A">
            <w:pPr>
              <w:pStyle w:val="xmsolistparagraph"/>
              <w:ind w:left="0"/>
              <w:rPr>
                <w:rFonts w:eastAsia="Times New Roman"/>
              </w:rPr>
            </w:pPr>
            <w:r w:rsidRPr="00C9379E">
              <w:rPr>
                <w:rFonts w:eastAsia="Times New Roman"/>
              </w:rPr>
              <w:t>-Close HF bottle immediately after pouring chemical. Do not leave the bottle open.</w:t>
            </w:r>
          </w:p>
          <w:p w14:paraId="12601850" w14:textId="77777777" w:rsidR="007B0262" w:rsidRPr="00C9379E" w:rsidRDefault="007B0262" w:rsidP="0062106A">
            <w:pPr>
              <w:pStyle w:val="xmsolistparagraph"/>
              <w:ind w:left="0"/>
              <w:rPr>
                <w:rFonts w:eastAsia="Times New Roman"/>
              </w:rPr>
            </w:pPr>
            <w:r w:rsidRPr="00C9379E">
              <w:rPr>
                <w:rFonts w:eastAsia="Times New Roman"/>
              </w:rPr>
              <w:t xml:space="preserve">-Wipe off the outside of bottle with a damp paper towel after use.  </w:t>
            </w:r>
          </w:p>
          <w:p w14:paraId="0B9181F1" w14:textId="77777777" w:rsidR="007B0262" w:rsidRPr="00C9379E" w:rsidRDefault="007B0262" w:rsidP="0062106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6832BBF6" w14:textId="77777777" w:rsidR="007B0262" w:rsidRPr="00C9379E" w:rsidRDefault="007B0262" w:rsidP="0062106A">
            <w:pPr>
              <w:pStyle w:val="xmsolistparagraph"/>
              <w:ind w:left="0"/>
              <w:rPr>
                <w:rFonts w:eastAsia="Times New Roman"/>
              </w:rPr>
            </w:pPr>
            <w:r w:rsidRPr="00C9379E">
              <w:rPr>
                <w:rFonts w:eastAsia="Times New Roman"/>
              </w:rPr>
              <w:t xml:space="preserve">-Remove gloves if they become contaminated. Change gloves immediately after completion of task.  </w:t>
            </w:r>
          </w:p>
          <w:p w14:paraId="7D61BC28" w14:textId="77777777" w:rsidR="007B0262" w:rsidRPr="00C9379E" w:rsidRDefault="007B0262" w:rsidP="0062106A">
            <w:pPr>
              <w:pStyle w:val="xmsolistparagraph"/>
              <w:ind w:left="0"/>
              <w:rPr>
                <w:rFonts w:eastAsia="Times New Roman"/>
              </w:rPr>
            </w:pPr>
            <w:r w:rsidRPr="00C9379E">
              <w:rPr>
                <w:rFonts w:eastAsia="Times New Roman"/>
              </w:rPr>
              <w:t>-Wash hands immediately after completion of task.</w:t>
            </w:r>
          </w:p>
          <w:p w14:paraId="297C4B09" w14:textId="77777777" w:rsidR="007B0262" w:rsidRPr="00C9379E" w:rsidRDefault="007B0262" w:rsidP="0062106A">
            <w:pPr>
              <w:pStyle w:val="xmsolistparagraph"/>
              <w:ind w:left="0"/>
              <w:rPr>
                <w:rFonts w:eastAsia="Times New Roman"/>
              </w:rPr>
            </w:pPr>
            <w:r w:rsidRPr="00C9379E">
              <w:rPr>
                <w:rFonts w:eastAsia="Times New Roman"/>
              </w:rPr>
              <w:t>-Thoroughly rinse all labware immediately after use.</w:t>
            </w:r>
          </w:p>
          <w:p w14:paraId="20575F87" w14:textId="77777777" w:rsidR="007B0262" w:rsidRPr="00C9379E" w:rsidRDefault="007B0262" w:rsidP="0062106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  </w:t>
            </w:r>
          </w:p>
        </w:tc>
      </w:tr>
      <w:tr w:rsidR="007B0262" w14:paraId="3D88A68C" w14:textId="77777777" w:rsidTr="00E53EC9">
        <w:trPr>
          <w:trHeight w:val="364"/>
        </w:trPr>
        <w:tc>
          <w:tcPr>
            <w:tcW w:w="3330" w:type="dxa"/>
          </w:tcPr>
          <w:p w14:paraId="24693BFA" w14:textId="77777777" w:rsidR="007B0262" w:rsidRDefault="007B0262" w:rsidP="0062106A">
            <w:pPr>
              <w:rPr>
                <w:b/>
              </w:rPr>
            </w:pPr>
            <w:r>
              <w:rPr>
                <w:b/>
              </w:rPr>
              <w:t>Engineering</w:t>
            </w:r>
          </w:p>
        </w:tc>
        <w:tc>
          <w:tcPr>
            <w:tcW w:w="8275" w:type="dxa"/>
            <w:gridSpan w:val="3"/>
          </w:tcPr>
          <w:p w14:paraId="742EA3DC" w14:textId="77777777" w:rsidR="007B0262" w:rsidRPr="00C9379E" w:rsidRDefault="007B0262" w:rsidP="0062106A">
            <w:pPr>
              <w:pStyle w:val="xmsolistparagraph"/>
              <w:ind w:left="0"/>
              <w:rPr>
                <w:rFonts w:eastAsia="Times New Roman"/>
              </w:rPr>
            </w:pPr>
            <w:r w:rsidRPr="00C9379E">
              <w:rPr>
                <w:rFonts w:eastAsia="Times New Roman"/>
              </w:rPr>
              <w:t>-Conduct this task only inside of a working chemical fume hood.</w:t>
            </w:r>
          </w:p>
          <w:p w14:paraId="3C51180C" w14:textId="77777777" w:rsidR="007B0262" w:rsidRPr="00C9379E" w:rsidRDefault="007B0262" w:rsidP="0062106A">
            <w:r w:rsidRPr="00C9379E">
              <w:t xml:space="preserve">-Use the chemical fume hood sash as a barrier to shield your face and as much of your body as possible while performing this task.  </w:t>
            </w:r>
          </w:p>
          <w:p w14:paraId="0E145835" w14:textId="77777777" w:rsidR="007B0262" w:rsidRPr="00C9379E" w:rsidRDefault="007B0262" w:rsidP="0062106A">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77777777" w:rsidR="007B0262" w:rsidRPr="00C9379E" w:rsidRDefault="007B0262" w:rsidP="0062106A">
            <w:r w:rsidRPr="00C9379E">
              <w:t xml:space="preserve">Standard lab attire (long pants, </w:t>
            </w:r>
            <w:proofErr w:type="gramStart"/>
            <w:r w:rsidRPr="00C9379E">
              <w:t>fully-enclosed</w:t>
            </w:r>
            <w:proofErr w:type="gramEnd"/>
            <w:r w:rsidRPr="00C9379E">
              <w:t xml:space="preserve"> shoes) and</w:t>
            </w:r>
          </w:p>
          <w:p w14:paraId="157BB257" w14:textId="77777777" w:rsidR="00EA267D" w:rsidRDefault="00EA267D" w:rsidP="00EA267D">
            <w:r w:rsidRPr="00FC6C98">
              <w:t>-</w:t>
            </w: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Pr>
                <w:b/>
                <w:bCs/>
              </w:rPr>
              <w:t>at minimum</w:t>
            </w:r>
            <w:r w:rsidRPr="00FC6C98">
              <w:t xml:space="preserve"> when conduct</w:t>
            </w:r>
            <w:r>
              <w:t>ing</w:t>
            </w:r>
            <w:r w:rsidRPr="00FC6C98">
              <w:t xml:space="preserve"> the reaction. </w:t>
            </w:r>
          </w:p>
          <w:p w14:paraId="7F139E36" w14:textId="382AFA27" w:rsidR="00EA267D" w:rsidRDefault="00EA267D" w:rsidP="00EA267D">
            <w:r>
              <w:t>-</w:t>
            </w:r>
            <w:r w:rsidRPr="00EA267D">
              <w:t>EHRS also strongly recommends working with a face shield, HF-resistant gloves, and HF-resistant arm sleeves (if not already a part of the glove) for all work with HF.</w:t>
            </w:r>
          </w:p>
          <w:p w14:paraId="1A479ABE" w14:textId="567CF20B" w:rsidR="007B0262" w:rsidRPr="00C9379E" w:rsidRDefault="00EA267D" w:rsidP="0062106A">
            <w:r w:rsidRPr="00EA267D">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02EB6D74" w:rsidR="007B58A6" w:rsidRPr="00892AB4" w:rsidRDefault="00EA267D" w:rsidP="00EA267D">
      <w:pPr>
        <w:spacing w:after="0"/>
      </w:pPr>
      <w:r w:rsidRPr="00EA267D">
        <w:rPr>
          <w:bCs/>
        </w:rPr>
        <w:t>Fact Sheet: Hydrofluoric Acid</w:t>
      </w:r>
      <w:r>
        <w:rPr>
          <w:b/>
        </w:rPr>
        <w:t xml:space="preserve"> </w:t>
      </w:r>
      <w:r w:rsidRPr="00EA267D">
        <w:rPr>
          <w:bCs/>
        </w:rPr>
        <w:t>|</w:t>
      </w:r>
      <w:r>
        <w:rPr>
          <w:b/>
        </w:rPr>
        <w:t xml:space="preserve"> </w:t>
      </w:r>
      <w:hyperlink r:id="rId40" w:history="1">
        <w:r w:rsidRPr="00312CB7">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orrison, Sean Michael" w:date="2023-12-04T13:08:00Z" w:initials="SM">
    <w:p w14:paraId="723C4980" w14:textId="77777777" w:rsidR="006201CF" w:rsidRDefault="006201CF">
      <w:pPr>
        <w:pStyle w:val="CommentText"/>
      </w:pPr>
      <w:r>
        <w:rPr>
          <w:rStyle w:val="CommentReference"/>
        </w:rPr>
        <w:annotationRef/>
      </w:r>
      <w:r>
        <w:t>For example, an HCP regarding the use of potentially explosive compounds as chemical reagents may look like this:</w:t>
      </w:r>
    </w:p>
    <w:p w14:paraId="0DDCB20F" w14:textId="77777777" w:rsidR="006201CF" w:rsidRDefault="006201CF">
      <w:pPr>
        <w:pStyle w:val="CommentText"/>
        <w:numPr>
          <w:ilvl w:val="0"/>
          <w:numId w:val="24"/>
        </w:numPr>
      </w:pPr>
      <w:r>
        <w:t xml:space="preserve">This HCP only applies to procedures that take place completely within the enclosure of a chemical fume hood. </w:t>
      </w:r>
    </w:p>
    <w:p w14:paraId="66A794FB" w14:textId="77777777" w:rsidR="006201CF" w:rsidRDefault="006201CF">
      <w:pPr>
        <w:pStyle w:val="CommentText"/>
        <w:numPr>
          <w:ilvl w:val="0"/>
          <w:numId w:val="24"/>
        </w:numPr>
      </w:pPr>
      <w:r>
        <w:t xml:space="preserve">This HCP describes short-duration delivery of an explosive compound to a reaction. It does not apply to continuous or unattended operations that involve dispensing an explosive compound. </w:t>
      </w:r>
    </w:p>
    <w:p w14:paraId="460B4F7A" w14:textId="77777777" w:rsidR="006201CF" w:rsidRDefault="006201CF">
      <w:pPr>
        <w:pStyle w:val="CommentText"/>
        <w:numPr>
          <w:ilvl w:val="0"/>
          <w:numId w:val="24"/>
        </w:numPr>
      </w:pPr>
      <w:r>
        <w:t xml:space="preserve">This HCP is for bench-scale chemical synthesis reactions where an explosive compound is consumed as part of the chemical transformation. It does not apply to the use of an explosive compound in furnaces, as a fuel source, or other potential research use of an explosive compound. </w:t>
      </w:r>
    </w:p>
    <w:p w14:paraId="0F2A602D" w14:textId="77777777" w:rsidR="006201CF" w:rsidRDefault="006201CF" w:rsidP="003A2D0A">
      <w:pPr>
        <w:pStyle w:val="CommentText"/>
        <w:numPr>
          <w:ilvl w:val="0"/>
          <w:numId w:val="24"/>
        </w:numPr>
      </w:pPr>
      <w:r>
        <w:t>This HCP primarily discusses the hazards and controls for explosive compounds, although other hazards such as flammable, oxidizing, and toxic chemicals may also be involved in the procedure. Additional hazard identification, controls, and training may be necessary beyond what is specified in this HCP.</w:t>
      </w:r>
    </w:p>
  </w:comment>
  <w:comment w:id="12" w:author="Morrison, Sean Michael" w:date="2024-01-16T16:03:00Z" w:initials="SM">
    <w:p w14:paraId="7FD712A1" w14:textId="77777777" w:rsidR="00527564" w:rsidRDefault="00527564" w:rsidP="00527564">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p>
  </w:comment>
  <w:comment w:id="18" w:author="Morrison, Sean Michael" w:date="2024-10-28T11:23:00Z" w:initials="SM">
    <w:p w14:paraId="6341BD2C" w14:textId="77777777" w:rsidR="002C1105" w:rsidRDefault="002C1105" w:rsidP="002C1105">
      <w:pPr>
        <w:pStyle w:val="CommentText"/>
      </w:pPr>
      <w:r>
        <w:rPr>
          <w:rStyle w:val="CommentReference"/>
        </w:rPr>
        <w:annotationRef/>
      </w:r>
      <w:r>
        <w:t>Such as those from a parent compound used to generate diazomethane, like Diazald or trimethylsilyl diazomethane.</w:t>
      </w:r>
    </w:p>
  </w:comment>
  <w:comment w:id="17" w:author="Morrison, Sean Michael" w:date="2024-10-28T11:19:00Z" w:initials="SM">
    <w:p w14:paraId="6C032FA7" w14:textId="77777777" w:rsidR="002C1105" w:rsidRDefault="002C1105" w:rsidP="002C1105">
      <w:pPr>
        <w:pStyle w:val="CommentText"/>
      </w:pPr>
      <w:r>
        <w:rPr>
          <w:rStyle w:val="CommentReference"/>
        </w:rPr>
        <w:annotationRef/>
      </w:r>
      <w:r>
        <w:t>This example text applies to diazomethane generated</w:t>
      </w:r>
      <w:r>
        <w:rPr>
          <w:i/>
          <w:iCs/>
        </w:rPr>
        <w:t xml:space="preserve"> in situ </w:t>
      </w:r>
      <w:r>
        <w:t>during a reaction.</w:t>
      </w:r>
    </w:p>
    <w:p w14:paraId="5147FE5F" w14:textId="77777777" w:rsidR="002C1105" w:rsidRDefault="002C1105" w:rsidP="002C1105">
      <w:pPr>
        <w:pStyle w:val="CommentText"/>
      </w:pPr>
      <w:r>
        <w:t>Please provide examples appropriate to the quenched waste specified in your HCP, if applicable.</w:t>
      </w:r>
    </w:p>
  </w:comment>
  <w:comment w:id="23"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24"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26"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28"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29"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27"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32" w:author="Morrison, Sean Michael" w:date="2024-04-04T16:30:00Z" w:initials="SM">
    <w:p w14:paraId="7F6F02EC" w14:textId="77777777"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2A602D" w15:done="0"/>
  <w15:commentEx w15:paraId="7FD712A1" w15:done="0"/>
  <w15:commentEx w15:paraId="6341BD2C" w15:done="0"/>
  <w15:commentEx w15:paraId="5147FE5F"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5B4AB6" w16cex:dateUtc="2023-12-04T18:08:00Z"/>
  <w16cex:commentExtensible w16cex:durableId="6F0B8235" w16cex:dateUtc="2024-01-16T21:03:00Z"/>
  <w16cex:commentExtensible w16cex:durableId="7FD9F7E2" w16cex:dateUtc="2024-10-28T15:23:00Z"/>
  <w16cex:commentExtensible w16cex:durableId="515CA009" w16cex:dateUtc="2024-10-28T15:19: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2A602D" w16cid:durableId="2D5B4AB6"/>
  <w16cid:commentId w16cid:paraId="7FD712A1" w16cid:durableId="6F0B8235"/>
  <w16cid:commentId w16cid:paraId="6341BD2C" w16cid:durableId="7FD9F7E2"/>
  <w16cid:commentId w16cid:paraId="5147FE5F" w16cid:durableId="515CA009"/>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E4631" w14:textId="77777777" w:rsidR="0060034D" w:rsidRDefault="0060034D" w:rsidP="00DF0DEA">
      <w:pPr>
        <w:spacing w:after="0" w:line="240" w:lineRule="auto"/>
      </w:pPr>
      <w:r>
        <w:separator/>
      </w:r>
    </w:p>
  </w:endnote>
  <w:endnote w:type="continuationSeparator" w:id="0">
    <w:p w14:paraId="0C98624E" w14:textId="77777777" w:rsidR="0060034D" w:rsidRDefault="0060034D"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7E40" w14:textId="77777777" w:rsidR="00C60A8D" w:rsidRDefault="00C60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4A83C" w14:textId="77777777" w:rsidR="00C60A8D" w:rsidRDefault="00C60A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48E460EA" w:rsid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C60A8D">
      <w:rPr>
        <w:color w:val="1F4E79" w:themeColor="accent1" w:themeShade="80"/>
        <w:sz w:val="18"/>
      </w:rPr>
      <w:t>10</w:t>
    </w:r>
    <w:r w:rsidR="005013D0">
      <w:rPr>
        <w:color w:val="1F4E79" w:themeColor="accent1" w:themeShade="80"/>
        <w:sz w:val="18"/>
      </w:rPr>
      <w:t>_</w:t>
    </w:r>
    <w:r w:rsidR="00C60A8D">
      <w:rPr>
        <w:color w:val="1F4E79" w:themeColor="accent1" w:themeShade="80"/>
        <w:sz w:val="18"/>
      </w:rPr>
      <w:t>28</w:t>
    </w:r>
    <w:r w:rsidRPr="00D42C38">
      <w:rPr>
        <w:color w:val="1F4E79" w:themeColor="accent1" w:themeShade="80"/>
        <w:sz w:val="18"/>
      </w:rPr>
      <w:t>_20</w:t>
    </w:r>
    <w:r w:rsidR="00CF5F58">
      <w:rPr>
        <w:color w:val="1F4E79" w:themeColor="accent1" w:themeShade="80"/>
        <w:sz w:val="18"/>
      </w:rPr>
      <w:t>2</w:t>
    </w:r>
    <w:r w:rsidR="005013D0">
      <w:rPr>
        <w:color w:val="1F4E79" w:themeColor="accent1" w:themeShade="80"/>
        <w:sz w:val="18"/>
      </w:rPr>
      <w:t>4</w:t>
    </w:r>
  </w:p>
  <w:p w14:paraId="6C3ACF0E" w14:textId="77777777" w:rsidR="00D9763A" w:rsidRPr="00DF0DEA" w:rsidRDefault="00D9763A" w:rsidP="00D9763A">
    <w:pPr>
      <w:jc w:val="center"/>
      <w:rPr>
        <w:color w:val="1F4E79" w:themeColor="accent1" w:themeShade="8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A2830" w14:textId="77777777" w:rsidR="00354A90" w:rsidRDefault="00354A90"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05B79630" w:rsid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C60A8D">
      <w:rPr>
        <w:color w:val="1F4E79" w:themeColor="accent1" w:themeShade="80"/>
        <w:sz w:val="18"/>
      </w:rPr>
      <w:t>10</w:t>
    </w:r>
    <w:r>
      <w:rPr>
        <w:color w:val="1F4E79" w:themeColor="accent1" w:themeShade="80"/>
        <w:sz w:val="18"/>
      </w:rPr>
      <w:t>_</w:t>
    </w:r>
    <w:r w:rsidR="00C60A8D">
      <w:rPr>
        <w:color w:val="1F4E79" w:themeColor="accent1" w:themeShade="80"/>
        <w:sz w:val="18"/>
      </w:rPr>
      <w:t>28</w:t>
    </w:r>
    <w:r w:rsidRPr="00D42C38">
      <w:rPr>
        <w:color w:val="1F4E79" w:themeColor="accent1" w:themeShade="80"/>
        <w:sz w:val="18"/>
      </w:rPr>
      <w:t>_20</w:t>
    </w:r>
    <w:r>
      <w:rPr>
        <w:color w:val="1F4E79" w:themeColor="accent1" w:themeShade="80"/>
        <w:sz w:val="18"/>
      </w:rPr>
      <w:t>24</w:t>
    </w:r>
  </w:p>
  <w:p w14:paraId="589A55F5" w14:textId="77777777" w:rsidR="00D9763A" w:rsidRPr="00DF0DEA" w:rsidRDefault="00D9763A" w:rsidP="00D9763A">
    <w:pPr>
      <w:jc w:val="center"/>
      <w:rPr>
        <w:color w:val="1F4E79" w:themeColor="accent1" w:themeShade="8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3450C7DA"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C60A8D">
      <w:rPr>
        <w:color w:val="1F4E79" w:themeColor="accent1" w:themeShade="80"/>
        <w:sz w:val="18"/>
      </w:rPr>
      <w:t>10</w:t>
    </w:r>
    <w:r>
      <w:rPr>
        <w:color w:val="1F4E79" w:themeColor="accent1" w:themeShade="80"/>
        <w:sz w:val="18"/>
      </w:rPr>
      <w:t>_</w:t>
    </w:r>
    <w:r w:rsidR="00C60A8D">
      <w:rPr>
        <w:color w:val="1F4E79" w:themeColor="accent1" w:themeShade="80"/>
        <w:sz w:val="18"/>
      </w:rPr>
      <w:t>28</w:t>
    </w:r>
    <w:r w:rsidRPr="00D42C38">
      <w:rPr>
        <w:color w:val="1F4E79" w:themeColor="accent1" w:themeShade="80"/>
        <w:sz w:val="18"/>
      </w:rPr>
      <w:t>_20</w:t>
    </w:r>
    <w:r>
      <w:rPr>
        <w:color w:val="1F4E79" w:themeColor="accent1" w:themeShade="80"/>
        <w:sz w:val="18"/>
      </w:rPr>
      <w:t>24</w:t>
    </w:r>
  </w:p>
  <w:p w14:paraId="071560EB" w14:textId="77777777" w:rsidR="00D9763A" w:rsidRPr="00DF0DEA" w:rsidRDefault="00D9763A" w:rsidP="00D9763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9CC00" w14:textId="77777777" w:rsidR="0060034D" w:rsidRDefault="0060034D" w:rsidP="00DF0DEA">
      <w:pPr>
        <w:spacing w:after="0" w:line="240" w:lineRule="auto"/>
      </w:pPr>
      <w:r>
        <w:separator/>
      </w:r>
    </w:p>
  </w:footnote>
  <w:footnote w:type="continuationSeparator" w:id="0">
    <w:p w14:paraId="148FC7A9" w14:textId="77777777" w:rsidR="0060034D" w:rsidRDefault="0060034D"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0C83" w14:textId="77777777" w:rsidR="00C60A8D" w:rsidRDefault="00C60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End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52B0" w14:textId="77777777" w:rsidR="00C60A8D" w:rsidRDefault="00C60A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End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323038B8"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7EFCCBB9" w14:textId="77777777" w:rsidR="000D4BA9" w:rsidRDefault="000D4B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B486" w14:textId="77777777" w:rsidR="0096104B" w:rsidRDefault="0096104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7A6CC" wp14:editId="23A6B24F">
              <wp:simplePos x="0" y="0"/>
              <wp:positionH relativeFrom="page">
                <wp:posOffset>3321247</wp:posOffset>
              </wp:positionH>
              <wp:positionV relativeFrom="page">
                <wp:posOffset>457185</wp:posOffset>
              </wp:positionV>
              <wp:extent cx="1155065" cy="379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79095"/>
                      </a:xfrm>
                      <a:prstGeom prst="rect">
                        <a:avLst/>
                      </a:prstGeom>
                    </wps:spPr>
                    <wps:txbx>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wps:txbx>
                    <wps:bodyPr wrap="square" lIns="0" tIns="0" rIns="0" bIns="0" rtlCol="0">
                      <a:noAutofit/>
                    </wps:bodyPr>
                  </wps:wsp>
                </a:graphicData>
              </a:graphic>
            </wp:anchor>
          </w:drawing>
        </mc:Choice>
        <mc:Fallback>
          <w:pict>
            <v:shapetype w14:anchorId="1E57A6CC" id="_x0000_t202" coordsize="21600,21600" o:spt="202" path="m,l,21600r21600,l21600,xe">
              <v:stroke joinstyle="miter"/>
              <v:path gradientshapeok="t" o:connecttype="rect"/>
            </v:shapetype>
            <v:shape id="Textbox 10" o:spid="_x0000_s1028" type="#_x0000_t202" style="position:absolute;margin-left:261.5pt;margin-top:36pt;width:90.95pt;height:2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lAEAABsDAAAOAAAAZHJzL2Uyb0RvYy54bWysUsGO0zAQvSPxD5bv1OmiLmz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" filled="f" stroked="f">
              <v:textbox inset="0,0,0,0">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EndPr/>
    <w:sdtContent>
      <w:p w14:paraId="414D2039" w14:textId="77777777" w:rsidR="00FC4B77" w:rsidRPr="0096104B" w:rsidRDefault="00FC4B77" w:rsidP="00DF0DEA">
        <w:pPr>
          <w:spacing w:after="0"/>
          <w:jc w:val="center"/>
          <w:rPr>
            <w:color w:val="244061"/>
          </w:rPr>
        </w:pPr>
        <w:r w:rsidRPr="0096104B">
          <w:t>Hazard Control Plan</w:t>
        </w:r>
      </w:p>
    </w:sdtContent>
  </w:sdt>
  <w:p w14:paraId="46D9FBDB" w14:textId="77777777" w:rsidR="00FC4B77" w:rsidRPr="0096104B" w:rsidRDefault="00FC4B77" w:rsidP="00DF0DEA">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p w14:paraId="339FCF89"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4"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3"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6"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26"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1"/>
  </w:num>
  <w:num w:numId="3" w16cid:durableId="1252349791">
    <w:abstractNumId w:val="8"/>
  </w:num>
  <w:num w:numId="4" w16cid:durableId="1133526697">
    <w:abstractNumId w:val="6"/>
  </w:num>
  <w:num w:numId="5" w16cid:durableId="1237322961">
    <w:abstractNumId w:val="20"/>
  </w:num>
  <w:num w:numId="6" w16cid:durableId="587077090">
    <w:abstractNumId w:val="29"/>
  </w:num>
  <w:num w:numId="7" w16cid:durableId="688683529">
    <w:abstractNumId w:val="9"/>
  </w:num>
  <w:num w:numId="8" w16cid:durableId="2013295040">
    <w:abstractNumId w:val="18"/>
  </w:num>
  <w:num w:numId="9" w16cid:durableId="1079016724">
    <w:abstractNumId w:val="10"/>
  </w:num>
  <w:num w:numId="10" w16cid:durableId="1605503205">
    <w:abstractNumId w:val="7"/>
  </w:num>
  <w:num w:numId="11" w16cid:durableId="299893489">
    <w:abstractNumId w:val="17"/>
  </w:num>
  <w:num w:numId="12" w16cid:durableId="1444617117">
    <w:abstractNumId w:val="0"/>
  </w:num>
  <w:num w:numId="13" w16cid:durableId="181748848">
    <w:abstractNumId w:val="1"/>
  </w:num>
  <w:num w:numId="14" w16cid:durableId="1024986310">
    <w:abstractNumId w:val="28"/>
  </w:num>
  <w:num w:numId="15" w16cid:durableId="286401959">
    <w:abstractNumId w:val="23"/>
  </w:num>
  <w:num w:numId="16" w16cid:durableId="248006852">
    <w:abstractNumId w:val="13"/>
  </w:num>
  <w:num w:numId="17" w16cid:durableId="1561207128">
    <w:abstractNumId w:val="19"/>
  </w:num>
  <w:num w:numId="18" w16cid:durableId="965696630">
    <w:abstractNumId w:val="27"/>
  </w:num>
  <w:num w:numId="19" w16cid:durableId="937327716">
    <w:abstractNumId w:val="16"/>
  </w:num>
  <w:num w:numId="20" w16cid:durableId="698434465">
    <w:abstractNumId w:val="11"/>
  </w:num>
  <w:num w:numId="21" w16cid:durableId="11352240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26"/>
  </w:num>
  <w:num w:numId="23" w16cid:durableId="778336545">
    <w:abstractNumId w:val="14"/>
  </w:num>
  <w:num w:numId="24" w16cid:durableId="1581135329">
    <w:abstractNumId w:val="4"/>
  </w:num>
  <w:num w:numId="25" w16cid:durableId="461581898">
    <w:abstractNumId w:val="25"/>
  </w:num>
  <w:num w:numId="26" w16cid:durableId="431247880">
    <w:abstractNumId w:val="12"/>
  </w:num>
  <w:num w:numId="27" w16cid:durableId="804347130">
    <w:abstractNumId w:val="3"/>
  </w:num>
  <w:num w:numId="28" w16cid:durableId="153762606">
    <w:abstractNumId w:val="15"/>
  </w:num>
  <w:num w:numId="29" w16cid:durableId="1890725861">
    <w:abstractNumId w:val="22"/>
  </w:num>
  <w:num w:numId="30" w16cid:durableId="15747039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64A51"/>
    <w:rsid w:val="00064DD4"/>
    <w:rsid w:val="00077258"/>
    <w:rsid w:val="000B38B5"/>
    <w:rsid w:val="000B4033"/>
    <w:rsid w:val="000B4391"/>
    <w:rsid w:val="000C3B43"/>
    <w:rsid w:val="000C3D00"/>
    <w:rsid w:val="000C74F4"/>
    <w:rsid w:val="000D4BA9"/>
    <w:rsid w:val="000D5DB0"/>
    <w:rsid w:val="000E0023"/>
    <w:rsid w:val="000E51AA"/>
    <w:rsid w:val="000F4266"/>
    <w:rsid w:val="000F76E7"/>
    <w:rsid w:val="0010218C"/>
    <w:rsid w:val="00113E7D"/>
    <w:rsid w:val="00141A44"/>
    <w:rsid w:val="001455EE"/>
    <w:rsid w:val="00147F48"/>
    <w:rsid w:val="001633BE"/>
    <w:rsid w:val="00170FD9"/>
    <w:rsid w:val="00173B12"/>
    <w:rsid w:val="00176A02"/>
    <w:rsid w:val="00185F6E"/>
    <w:rsid w:val="001B39FA"/>
    <w:rsid w:val="001B3D7E"/>
    <w:rsid w:val="001D4792"/>
    <w:rsid w:val="001D6421"/>
    <w:rsid w:val="001E3140"/>
    <w:rsid w:val="001E504B"/>
    <w:rsid w:val="001F4636"/>
    <w:rsid w:val="0020631B"/>
    <w:rsid w:val="0022162E"/>
    <w:rsid w:val="00224900"/>
    <w:rsid w:val="0022792D"/>
    <w:rsid w:val="0023311F"/>
    <w:rsid w:val="00234882"/>
    <w:rsid w:val="00237179"/>
    <w:rsid w:val="0024012F"/>
    <w:rsid w:val="00242697"/>
    <w:rsid w:val="00260925"/>
    <w:rsid w:val="00273EFC"/>
    <w:rsid w:val="00274E0D"/>
    <w:rsid w:val="00280EC0"/>
    <w:rsid w:val="0028147B"/>
    <w:rsid w:val="002821BC"/>
    <w:rsid w:val="002902A7"/>
    <w:rsid w:val="002A60FA"/>
    <w:rsid w:val="002B353A"/>
    <w:rsid w:val="002C1105"/>
    <w:rsid w:val="002C3197"/>
    <w:rsid w:val="002C3F2F"/>
    <w:rsid w:val="002C5A32"/>
    <w:rsid w:val="002D15DE"/>
    <w:rsid w:val="002D42A7"/>
    <w:rsid w:val="002E5277"/>
    <w:rsid w:val="002F2421"/>
    <w:rsid w:val="002F76AE"/>
    <w:rsid w:val="00317C90"/>
    <w:rsid w:val="003221D2"/>
    <w:rsid w:val="00326F16"/>
    <w:rsid w:val="0033379F"/>
    <w:rsid w:val="0034048A"/>
    <w:rsid w:val="00351698"/>
    <w:rsid w:val="00354A90"/>
    <w:rsid w:val="00362A25"/>
    <w:rsid w:val="00363AC3"/>
    <w:rsid w:val="00370B82"/>
    <w:rsid w:val="003757D1"/>
    <w:rsid w:val="0038477F"/>
    <w:rsid w:val="00385E36"/>
    <w:rsid w:val="003B7D90"/>
    <w:rsid w:val="003C757A"/>
    <w:rsid w:val="003D6BA5"/>
    <w:rsid w:val="00407212"/>
    <w:rsid w:val="00417E50"/>
    <w:rsid w:val="00422476"/>
    <w:rsid w:val="004301A6"/>
    <w:rsid w:val="004424E2"/>
    <w:rsid w:val="0044786F"/>
    <w:rsid w:val="0046557C"/>
    <w:rsid w:val="00466630"/>
    <w:rsid w:val="00486CEF"/>
    <w:rsid w:val="0049145C"/>
    <w:rsid w:val="00494EB2"/>
    <w:rsid w:val="004A3DBE"/>
    <w:rsid w:val="004A4C2A"/>
    <w:rsid w:val="004B1182"/>
    <w:rsid w:val="004C697E"/>
    <w:rsid w:val="004F08B5"/>
    <w:rsid w:val="005013D0"/>
    <w:rsid w:val="00501427"/>
    <w:rsid w:val="0050564B"/>
    <w:rsid w:val="00527564"/>
    <w:rsid w:val="00545D01"/>
    <w:rsid w:val="00554BED"/>
    <w:rsid w:val="00580C67"/>
    <w:rsid w:val="005A7D1F"/>
    <w:rsid w:val="005E1942"/>
    <w:rsid w:val="005E1B37"/>
    <w:rsid w:val="005E2C1C"/>
    <w:rsid w:val="005E2EF3"/>
    <w:rsid w:val="005F0C13"/>
    <w:rsid w:val="0060034D"/>
    <w:rsid w:val="006007F0"/>
    <w:rsid w:val="006201CF"/>
    <w:rsid w:val="00623EEE"/>
    <w:rsid w:val="00636A0E"/>
    <w:rsid w:val="00636FD5"/>
    <w:rsid w:val="00645AB6"/>
    <w:rsid w:val="006478E7"/>
    <w:rsid w:val="006720EA"/>
    <w:rsid w:val="00687CAE"/>
    <w:rsid w:val="006A013F"/>
    <w:rsid w:val="006A4432"/>
    <w:rsid w:val="006A45E5"/>
    <w:rsid w:val="006B66DF"/>
    <w:rsid w:val="006D30A9"/>
    <w:rsid w:val="006D349B"/>
    <w:rsid w:val="006D52B2"/>
    <w:rsid w:val="0071134D"/>
    <w:rsid w:val="00730DB3"/>
    <w:rsid w:val="00735ABA"/>
    <w:rsid w:val="00736BFD"/>
    <w:rsid w:val="007424F8"/>
    <w:rsid w:val="0074771C"/>
    <w:rsid w:val="00757E29"/>
    <w:rsid w:val="00785407"/>
    <w:rsid w:val="007A5198"/>
    <w:rsid w:val="007B0262"/>
    <w:rsid w:val="007B0664"/>
    <w:rsid w:val="007B58A6"/>
    <w:rsid w:val="007D7EA5"/>
    <w:rsid w:val="007F6838"/>
    <w:rsid w:val="008065D7"/>
    <w:rsid w:val="008330BB"/>
    <w:rsid w:val="00834042"/>
    <w:rsid w:val="0083519E"/>
    <w:rsid w:val="00836D0F"/>
    <w:rsid w:val="008515C6"/>
    <w:rsid w:val="008618F3"/>
    <w:rsid w:val="00885192"/>
    <w:rsid w:val="00892AB4"/>
    <w:rsid w:val="00894016"/>
    <w:rsid w:val="00896F32"/>
    <w:rsid w:val="00897A88"/>
    <w:rsid w:val="008A7A84"/>
    <w:rsid w:val="008B6A4A"/>
    <w:rsid w:val="008D3A41"/>
    <w:rsid w:val="008F2019"/>
    <w:rsid w:val="008F7183"/>
    <w:rsid w:val="00944E18"/>
    <w:rsid w:val="00945937"/>
    <w:rsid w:val="00956B1A"/>
    <w:rsid w:val="0096104B"/>
    <w:rsid w:val="009742B3"/>
    <w:rsid w:val="0098724F"/>
    <w:rsid w:val="00993A7B"/>
    <w:rsid w:val="009A020C"/>
    <w:rsid w:val="009B3D08"/>
    <w:rsid w:val="009C13A7"/>
    <w:rsid w:val="009C7829"/>
    <w:rsid w:val="009E2472"/>
    <w:rsid w:val="009E6C85"/>
    <w:rsid w:val="009F1C06"/>
    <w:rsid w:val="009F6EF4"/>
    <w:rsid w:val="009F7D83"/>
    <w:rsid w:val="00A30CFE"/>
    <w:rsid w:val="00A3418E"/>
    <w:rsid w:val="00A37C99"/>
    <w:rsid w:val="00A42654"/>
    <w:rsid w:val="00A42F62"/>
    <w:rsid w:val="00A6059E"/>
    <w:rsid w:val="00A61420"/>
    <w:rsid w:val="00A71239"/>
    <w:rsid w:val="00A773CB"/>
    <w:rsid w:val="00A80EFB"/>
    <w:rsid w:val="00A8575E"/>
    <w:rsid w:val="00AA4872"/>
    <w:rsid w:val="00AC48BE"/>
    <w:rsid w:val="00AC69EE"/>
    <w:rsid w:val="00AD0861"/>
    <w:rsid w:val="00AD08C3"/>
    <w:rsid w:val="00AE3B22"/>
    <w:rsid w:val="00AE6A4B"/>
    <w:rsid w:val="00AF51BA"/>
    <w:rsid w:val="00B04C6B"/>
    <w:rsid w:val="00B0573D"/>
    <w:rsid w:val="00B14ABC"/>
    <w:rsid w:val="00B317F0"/>
    <w:rsid w:val="00B47AAB"/>
    <w:rsid w:val="00B52A8B"/>
    <w:rsid w:val="00B60D1D"/>
    <w:rsid w:val="00B66769"/>
    <w:rsid w:val="00B751FD"/>
    <w:rsid w:val="00B8312F"/>
    <w:rsid w:val="00BA5DB9"/>
    <w:rsid w:val="00BC40E6"/>
    <w:rsid w:val="00BD4B9A"/>
    <w:rsid w:val="00BE7AFE"/>
    <w:rsid w:val="00C433D6"/>
    <w:rsid w:val="00C51BBA"/>
    <w:rsid w:val="00C57668"/>
    <w:rsid w:val="00C602BA"/>
    <w:rsid w:val="00C60A8D"/>
    <w:rsid w:val="00C63507"/>
    <w:rsid w:val="00C65F9E"/>
    <w:rsid w:val="00C75837"/>
    <w:rsid w:val="00C85900"/>
    <w:rsid w:val="00C9379E"/>
    <w:rsid w:val="00CD078D"/>
    <w:rsid w:val="00CD13ED"/>
    <w:rsid w:val="00CD656A"/>
    <w:rsid w:val="00CF2E27"/>
    <w:rsid w:val="00CF5F58"/>
    <w:rsid w:val="00D2549C"/>
    <w:rsid w:val="00D42C38"/>
    <w:rsid w:val="00D473D0"/>
    <w:rsid w:val="00D53EC1"/>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79B0"/>
    <w:rsid w:val="00DD701D"/>
    <w:rsid w:val="00DF0DEA"/>
    <w:rsid w:val="00E5046A"/>
    <w:rsid w:val="00E53EC9"/>
    <w:rsid w:val="00E557BE"/>
    <w:rsid w:val="00E57BF6"/>
    <w:rsid w:val="00E82F59"/>
    <w:rsid w:val="00E94C59"/>
    <w:rsid w:val="00EA267D"/>
    <w:rsid w:val="00EA4A6A"/>
    <w:rsid w:val="00EC0EA2"/>
    <w:rsid w:val="00EF6D26"/>
    <w:rsid w:val="00F004F9"/>
    <w:rsid w:val="00F12BAA"/>
    <w:rsid w:val="00F30FC5"/>
    <w:rsid w:val="00F343CA"/>
    <w:rsid w:val="00F438BC"/>
    <w:rsid w:val="00F62AF3"/>
    <w:rsid w:val="00F70004"/>
    <w:rsid w:val="00FA42E4"/>
    <w:rsid w:val="00FB598A"/>
    <w:rsid w:val="00FC4B77"/>
    <w:rsid w:val="00FE4726"/>
    <w:rsid w:val="00FE5DAB"/>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hrs.upenn.edu/policies-resources/chemical-hygiene-plan" TargetMode="External"/><Relationship Id="rId26" Type="http://schemas.openxmlformats.org/officeDocument/2006/relationships/header" Target="header4.xml"/><Relationship Id="rId39" Type="http://schemas.openxmlformats.org/officeDocument/2006/relationships/footer" Target="footer6.xml"/><Relationship Id="rId21" Type="http://schemas.openxmlformats.org/officeDocument/2006/relationships/hyperlink" Target="https://ehrs.upenn.edu/health-safety/lab-safety/chemical-hygiene-plan/fact-sheets" TargetMode="External"/><Relationship Id="rId34" Type="http://schemas.openxmlformats.org/officeDocument/2006/relationships/hyperlink" Target="mailto:chem_waste@lists.upenn.edu"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hrs.upenn.edu/health-safety/lab-safety/chemical-hygiene-plan/standard-operating-procedures/sop-cryogens-and-dry" TargetMode="External"/><Relationship Id="rId29" Type="http://schemas.openxmlformats.org/officeDocument/2006/relationships/hyperlink" Target="https://ehrs.upenn.edu/health-safety/lab-safety/chemical-hygiene-plan/fact-shee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hrs.upenn.edu/health-safety/lab-safety/chemical-hygiene-plan/fact-sheets" TargetMode="External"/><Relationship Id="rId32" Type="http://schemas.openxmlformats.org/officeDocument/2006/relationships/hyperlink" Target="https://apps.ehrs.upenn.edu/secure/fm/COLLECTIONS/index.php" TargetMode="External"/><Relationship Id="rId37" Type="http://schemas.openxmlformats.org/officeDocument/2006/relationships/footer" Target="footer5.xml"/><Relationship Id="rId40" Type="http://schemas.openxmlformats.org/officeDocument/2006/relationships/hyperlink" Target="https://ehrs.upenn.edu/health-safety/lab-safety/chemical-hygiene-plan/fact-sheets/fact-sheet-hydrofluoric-acid"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ehrs.upenn.edu/health-safety/lab-safety/chemical-hygiene-plan/standard-operating-procedures/sop-cryogens-and-dry" TargetMode="External"/><Relationship Id="rId28" Type="http://schemas.openxmlformats.org/officeDocument/2006/relationships/hyperlink" Target="https://ehrs.upenn.edu/health-safety/lab-safety/chemical-hygiene-plan/standard-operating-procedures/sop-cryogens-and-dry"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ehrs.upenn.edu/policies-resources/chemical-hygiene-plan" TargetMode="External"/><Relationship Id="rId31" Type="http://schemas.openxmlformats.org/officeDocument/2006/relationships/hyperlink" Target="mailto:chem_waste@lists.upenn.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ehrs.upenn.edu/policies-resources/chemical-hygiene-plan" TargetMode="External"/><Relationship Id="rId27" Type="http://schemas.openxmlformats.org/officeDocument/2006/relationships/footer" Target="footer4.xml"/><Relationship Id="rId30" Type="http://schemas.openxmlformats.org/officeDocument/2006/relationships/hyperlink" Target="https://ehrs.upenn.edu/policies-resources/chemical-hygiene-plan" TargetMode="External"/><Relationship Id="rId35" Type="http://schemas.openxmlformats.org/officeDocument/2006/relationships/hyperlink" Target="https://ehrs.upenn.edu/emergency-info" TargetMode="Externa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ehrs.upenn.edu/policies-resources/chemical-hygiene-plan" TargetMode="External"/><Relationship Id="rId33" Type="http://schemas.openxmlformats.org/officeDocument/2006/relationships/hyperlink" Target="https://apps.ehrs.upenn.edu/secure/fm/COLLECTIONS/index.php" TargetMode="External"/><Relationship Id="rId38"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A79BC"/>
    <w:rsid w:val="000D46A0"/>
    <w:rsid w:val="000E35D1"/>
    <w:rsid w:val="000F3D84"/>
    <w:rsid w:val="00140778"/>
    <w:rsid w:val="00160419"/>
    <w:rsid w:val="00182F28"/>
    <w:rsid w:val="00192863"/>
    <w:rsid w:val="001E2B43"/>
    <w:rsid w:val="00213490"/>
    <w:rsid w:val="002A60FA"/>
    <w:rsid w:val="00304993"/>
    <w:rsid w:val="003757D1"/>
    <w:rsid w:val="00505990"/>
    <w:rsid w:val="00506CAB"/>
    <w:rsid w:val="005320BC"/>
    <w:rsid w:val="005C6C56"/>
    <w:rsid w:val="00662C97"/>
    <w:rsid w:val="006B1777"/>
    <w:rsid w:val="006D4A73"/>
    <w:rsid w:val="00711FDA"/>
    <w:rsid w:val="0073180F"/>
    <w:rsid w:val="007324F2"/>
    <w:rsid w:val="007424F8"/>
    <w:rsid w:val="00756B47"/>
    <w:rsid w:val="00866717"/>
    <w:rsid w:val="00896E68"/>
    <w:rsid w:val="008A52A2"/>
    <w:rsid w:val="008C7002"/>
    <w:rsid w:val="008E69BC"/>
    <w:rsid w:val="00915CD5"/>
    <w:rsid w:val="00935297"/>
    <w:rsid w:val="00944D05"/>
    <w:rsid w:val="00A10A06"/>
    <w:rsid w:val="00A418B1"/>
    <w:rsid w:val="00A836A3"/>
    <w:rsid w:val="00AB27BD"/>
    <w:rsid w:val="00AB550B"/>
    <w:rsid w:val="00AB6B42"/>
    <w:rsid w:val="00AD78F0"/>
    <w:rsid w:val="00AE2076"/>
    <w:rsid w:val="00B279ED"/>
    <w:rsid w:val="00B60D1D"/>
    <w:rsid w:val="00C761DE"/>
    <w:rsid w:val="00D10985"/>
    <w:rsid w:val="00D22B48"/>
    <w:rsid w:val="00D60299"/>
    <w:rsid w:val="00D94A5C"/>
    <w:rsid w:val="00E46B24"/>
    <w:rsid w:val="00E94DD7"/>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13</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[Name of Process Being Evaluated and Lab Name]</dc:subject>
  <dc:creator>Brown, Kimberly Jean</dc:creator>
  <cp:keywords/>
  <dc:description/>
  <cp:lastModifiedBy>Morrison, Sean Michael</cp:lastModifiedBy>
  <cp:revision>80</cp:revision>
  <cp:lastPrinted>2017-10-27T18:32:00Z</cp:lastPrinted>
  <dcterms:created xsi:type="dcterms:W3CDTF">2020-04-22T19:06:00Z</dcterms:created>
  <dcterms:modified xsi:type="dcterms:W3CDTF">2024-10-28T20:53:00Z</dcterms:modified>
</cp:coreProperties>
</file>